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spacing w:before="0" w:beforeAutospacing="0" w:after="0" w:afterAutospacing="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jc w:val="both"/>
        <w:spacing w:before="0" w:beforeAutospacing="0" w:after="0" w:afterAutospacing="0"/>
        <w:rPr>
          <w:rFonts w:hint="eastAsia" w:ascii="方正仿宋_GBK" w:hAnsi="方正仿宋_GBK" w:eastAsia="方正仿宋_GBK" w:cs="方正仿宋_GBK"/>
          <w:color w:val="auto"/>
          <w:sz w:val="28"/>
          <w:szCs w:val="28"/>
          <w:highlight w:val="none"/>
        </w:rPr>
      </w:pPr>
      <w:r/>
      <w:bookmarkStart w:id="0" w:name="EB3ace3d43b98b41779337deb808be6fa3"/>
      <w:r>
        <w:rPr>
          <w:rFonts w:hint="eastAsia" w:ascii="方正仿宋_GBK" w:hAnsi="方正仿宋_GBK" w:eastAsia="方正仿宋_GBK" w:cs="方正仿宋_GBK"/>
          <w:color w:val="auto"/>
          <w:sz w:val="28"/>
          <w:szCs w:val="28"/>
          <w:highlight w:val="none"/>
          <w:shd w:val="clear" w:color="auto" w:fill="ffffff"/>
        </w:rPr>
        <w:t xml:space="preserve"> </w:t>
      </w:r>
      <w:bookmarkEnd w:id="0"/>
      <w:r/>
      <w:bookmarkStart w:id="1" w:name="EB57dd2a69e2b54b0cb3f5c2f03a1ab7bf"/>
      <w:r>
        <w:rPr>
          <w:rFonts w:hint="eastAsia" w:ascii="方正仿宋_GBK" w:hAnsi="方正仿宋_GBK" w:eastAsia="方正仿宋_GBK" w:cs="方正仿宋_GBK"/>
          <w:color w:val="auto"/>
          <w:sz w:val="28"/>
          <w:szCs w:val="28"/>
          <w:highlight w:val="none"/>
          <w:shd w:val="clear" w:color="auto" w:fill="ffffff"/>
        </w:rPr>
        <w:t xml:space="preserve"> </w:t>
      </w:r>
      <w:bookmarkEnd w:id="1"/>
      <w:r/>
      <w:r/>
    </w:p>
    <w:p>
      <w:pPr>
        <w:pStyle w:val="861"/>
        <w:jc w:val="both"/>
        <w:spacing w:before="0" w:beforeAutospacing="0" w:after="0" w:afterAutospacing="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jc w:val="center"/>
        <w:spacing w:before="120" w:beforeAutospacing="0" w:after="12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bCs/>
          <w:color w:val="auto"/>
          <w:sz w:val="52"/>
          <w:szCs w:val="52"/>
          <w:highlight w:val="none"/>
        </w:rPr>
        <w:t xml:space="preserve">招 标 文 件</w:t>
      </w:r>
      <w:r/>
    </w:p>
    <w:p>
      <w:pPr>
        <w:pStyle w:val="861"/>
        <w:jc w:val="both"/>
        <w:spacing w:before="0" w:beforeAutospacing="0" w:after="0" w:afterAutospacing="0" w:line="480" w:lineRule="auto"/>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pStyle w:val="861"/>
        <w:jc w:val="both"/>
        <w:spacing w:before="0" w:beforeAutospacing="0" w:after="0" w:afterAutospacing="0" w:line="480" w:lineRule="auto"/>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pStyle w:val="861"/>
        <w:jc w:val="center"/>
        <w:spacing w:before="0" w:beforeAutospacing="0" w:after="0" w:afterAutospacing="0" w:line="480" w:lineRule="auto"/>
        <w:rPr>
          <w:rFonts w:hint="eastAsia" w:ascii="方正仿宋_GBK" w:hAnsi="方正仿宋_GBK" w:eastAsia="方正仿宋_GBK" w:cs="方正仿宋_GBK"/>
          <w:color w:val="auto"/>
          <w:sz w:val="30"/>
          <w:szCs w:val="30"/>
          <w:highlight w:val="none"/>
          <w:lang w:eastAsia="zh-CN"/>
        </w:rPr>
        <w:outlineLvl w:val="0"/>
      </w:pPr>
      <w:r/>
      <w:bookmarkStart w:id="2" w:name="_Toc14984"/>
      <w:r/>
      <w:bookmarkStart w:id="3" w:name="_Toc14639"/>
      <w:r/>
      <w:bookmarkStart w:id="4" w:name="_Toc12074"/>
      <w:r/>
      <w:bookmarkStart w:id="5" w:name="_Toc26828"/>
      <w:r>
        <w:rPr>
          <w:rFonts w:hint="eastAsia" w:ascii="方正仿宋_GBK" w:hAnsi="方正仿宋_GBK" w:eastAsia="方正仿宋_GBK" w:cs="方正仿宋_GBK"/>
          <w:b/>
          <w:bCs/>
          <w:color w:val="auto"/>
          <w:sz w:val="28"/>
          <w:szCs w:val="28"/>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项目名称：</w:t>
      </w:r>
      <w:bookmarkEnd w:id="2"/>
      <w:r/>
      <w:bookmarkEnd w:id="3"/>
      <w:r/>
      <w:bookmarkEnd w:id="4"/>
      <w:r/>
      <w:bookmarkEnd w:id="5"/>
      <w:r>
        <w:rPr>
          <w:rFonts w:hint="eastAsia" w:ascii="方正仿宋_GBK" w:hAnsi="方正仿宋_GBK" w:eastAsia="方正仿宋_GBK" w:cs="方正仿宋_GBK"/>
          <w:b/>
          <w:bCs/>
          <w:color w:val="auto"/>
          <w:sz w:val="30"/>
          <w:szCs w:val="30"/>
          <w:highlight w:val="none"/>
          <w:lang w:eastAsia="zh-CN"/>
        </w:rPr>
        <w:t xml:space="preserve">泗洪姜堰实验学校初中部功能室、实验室采购项目</w:t>
      </w:r>
      <w:r/>
    </w:p>
    <w:p>
      <w:pPr>
        <w:pStyle w:val="861"/>
        <w:ind w:firstLine="602"/>
        <w:jc w:val="both"/>
        <w:spacing w:before="0" w:beforeAutospacing="0" w:after="0" w:afterAutospacing="0" w:line="48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b/>
          <w:bCs/>
          <w:color w:val="auto"/>
          <w:sz w:val="30"/>
          <w:szCs w:val="30"/>
          <w:highlight w:val="none"/>
        </w:rPr>
        <w:t xml:space="preserve">项目编号：JSZC-321324-JZCG-G2025-0020</w:t>
      </w:r>
      <w:r/>
    </w:p>
    <w:p>
      <w:pPr>
        <w:pStyle w:val="861"/>
        <w:ind w:firstLine="602"/>
        <w:jc w:val="both"/>
        <w:spacing w:before="0" w:beforeAutospacing="0" w:after="0" w:afterAutospacing="0" w:line="480" w:lineRule="auto"/>
        <w:rPr>
          <w:rFonts w:hint="eastAsia" w:ascii="方正仿宋_GBK" w:hAnsi="方正仿宋_GBK" w:eastAsia="方正仿宋_GBK" w:cs="方正仿宋_GBK"/>
          <w:color w:val="auto"/>
          <w:sz w:val="30"/>
          <w:szCs w:val="30"/>
          <w:highlight w:val="none"/>
        </w:rPr>
        <w:outlineLvl w:val="0"/>
      </w:pPr>
      <w:r/>
      <w:bookmarkStart w:id="6" w:name="_Toc21355"/>
      <w:r/>
      <w:bookmarkStart w:id="7" w:name="_Toc12306"/>
      <w:r/>
      <w:bookmarkStart w:id="8" w:name="_Toc20861"/>
      <w:r/>
      <w:bookmarkStart w:id="9" w:name="_Toc6786"/>
      <w:r>
        <w:rPr>
          <w:rFonts w:hint="eastAsia" w:ascii="方正仿宋_GBK" w:hAnsi="方正仿宋_GBK" w:eastAsia="方正仿宋_GBK" w:cs="方正仿宋_GBK"/>
          <w:b/>
          <w:bCs/>
          <w:color w:val="auto"/>
          <w:sz w:val="30"/>
          <w:szCs w:val="30"/>
          <w:highlight w:val="none"/>
        </w:rPr>
        <w:t xml:space="preserve"> </w:t>
      </w:r>
      <w:r>
        <w:rPr>
          <w:rFonts w:hint="eastAsia" w:ascii="方正仿宋_GBK" w:hAnsi="方正仿宋_GBK" w:eastAsia="方正仿宋_GBK" w:cs="方正仿宋_GBK"/>
          <w:color w:val="auto"/>
          <w:sz w:val="30"/>
          <w:szCs w:val="30"/>
          <w:highlight w:val="none"/>
        </w:rPr>
        <w:t xml:space="preserve">  </w:t>
      </w:r>
      <w:r>
        <w:rPr>
          <w:rFonts w:hint="eastAsia" w:ascii="方正仿宋_GBK" w:hAnsi="方正仿宋_GBK" w:eastAsia="方正仿宋_GBK" w:cs="方正仿宋_GBK"/>
          <w:b/>
          <w:bCs/>
          <w:color w:val="auto"/>
          <w:sz w:val="30"/>
          <w:szCs w:val="30"/>
          <w:highlight w:val="none"/>
        </w:rPr>
        <w:t xml:space="preserve">（</w:t>
      </w:r>
      <w:r>
        <w:rPr>
          <w:rFonts w:hint="eastAsia" w:ascii="方正仿宋_GBK" w:hAnsi="方正仿宋_GBK" w:eastAsia="方正仿宋_GBK" w:cs="方正仿宋_GBK"/>
          <w:b/>
          <w:bCs/>
          <w:color w:val="auto"/>
          <w:sz w:val="30"/>
          <w:szCs w:val="30"/>
          <w:highlight w:val="none"/>
          <w:lang w:val="en-US" w:eastAsia="zh-CN"/>
        </w:rPr>
        <w:t xml:space="preserve">货物</w:t>
      </w:r>
      <w:r>
        <w:rPr>
          <w:rFonts w:hint="eastAsia" w:ascii="方正仿宋_GBK" w:hAnsi="方正仿宋_GBK" w:eastAsia="方正仿宋_GBK" w:cs="方正仿宋_GBK"/>
          <w:b/>
          <w:bCs/>
          <w:color w:val="auto"/>
          <w:sz w:val="30"/>
          <w:szCs w:val="30"/>
          <w:highlight w:val="none"/>
        </w:rPr>
        <w:t xml:space="preserve">类项目，</w:t>
      </w:r>
      <w:r>
        <w:rPr>
          <w:rFonts w:hint="eastAsia" w:ascii="方正仿宋_GBK" w:hAnsi="方正仿宋_GBK" w:eastAsia="方正仿宋_GBK" w:cs="方正仿宋_GBK"/>
          <w:b/>
          <w:bCs/>
          <w:color w:val="auto"/>
          <w:sz w:val="30"/>
          <w:szCs w:val="30"/>
          <w:highlight w:val="none"/>
          <w:u w:val="single"/>
        </w:rPr>
        <w:t xml:space="preserve"> </w:t>
      </w:r>
      <w:r>
        <w:rPr>
          <w:rFonts w:hint="eastAsia" w:ascii="方正仿宋_GBK" w:hAnsi="方正仿宋_GBK" w:eastAsia="方正仿宋_GBK" w:cs="方正仿宋_GBK"/>
          <w:b/>
          <w:bCs/>
          <w:color w:val="auto"/>
          <w:sz w:val="30"/>
          <w:szCs w:val="30"/>
          <w:highlight w:val="none"/>
          <w:u w:val="single"/>
          <w:lang w:val="en-US" w:eastAsia="zh-CN"/>
        </w:rPr>
        <w:t xml:space="preserve">是</w:t>
      </w:r>
      <w:r>
        <w:rPr>
          <w:rFonts w:hint="eastAsia" w:ascii="方正仿宋_GBK" w:hAnsi="方正仿宋_GBK" w:eastAsia="方正仿宋_GBK" w:cs="方正仿宋_GBK"/>
          <w:b/>
          <w:bCs/>
          <w:color w:val="auto"/>
          <w:sz w:val="30"/>
          <w:szCs w:val="30"/>
          <w:highlight w:val="none"/>
          <w:u w:val="single"/>
        </w:rPr>
        <w:t xml:space="preserve"> </w:t>
      </w:r>
      <w:r>
        <w:rPr>
          <w:rFonts w:hint="eastAsia" w:ascii="方正仿宋_GBK" w:hAnsi="方正仿宋_GBK" w:eastAsia="方正仿宋_GBK" w:cs="方正仿宋_GBK"/>
          <w:b/>
          <w:bCs/>
          <w:color w:val="auto"/>
          <w:sz w:val="30"/>
          <w:szCs w:val="30"/>
          <w:highlight w:val="none"/>
        </w:rPr>
        <w:t xml:space="preserve">专门面向中小企业）</w:t>
      </w:r>
      <w:bookmarkEnd w:id="6"/>
      <w:r/>
      <w:bookmarkEnd w:id="7"/>
      <w:r/>
      <w:bookmarkEnd w:id="8"/>
      <w:r/>
      <w:bookmarkEnd w:id="9"/>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ind w:firstLine="1506"/>
        <w:jc w:val="both"/>
        <w:spacing w:before="120" w:beforeAutospacing="0" w:after="120" w:afterAutospacing="0" w:line="360" w:lineRule="auto"/>
        <w:rPr>
          <w:rFonts w:hint="eastAsia" w:ascii="方正仿宋_GBK" w:hAnsi="方正仿宋_GBK" w:eastAsia="方正仿宋_GBK" w:cs="方正仿宋_GBK"/>
          <w:color w:val="auto"/>
          <w:sz w:val="30"/>
          <w:szCs w:val="30"/>
          <w:highlight w:val="none"/>
          <w:u w:val="single"/>
          <w:lang w:eastAsia="zh-CN"/>
        </w:rPr>
        <w:outlineLvl w:val="0"/>
      </w:pPr>
      <w:r/>
      <w:bookmarkStart w:id="10" w:name="_Toc29357"/>
      <w:r/>
      <w:bookmarkStart w:id="11" w:name="_Toc5082"/>
      <w:r/>
      <w:bookmarkStart w:id="12" w:name="_Toc12002"/>
      <w:r/>
      <w:bookmarkStart w:id="13" w:name="_Toc29674"/>
      <w:r>
        <w:rPr>
          <w:rFonts w:hint="eastAsia" w:ascii="方正仿宋_GBK" w:hAnsi="方正仿宋_GBK" w:eastAsia="方正仿宋_GBK" w:cs="方正仿宋_GBK"/>
          <w:b/>
          <w:bCs/>
          <w:color w:val="auto"/>
          <w:sz w:val="30"/>
          <w:szCs w:val="30"/>
          <w:highlight w:val="none"/>
        </w:rPr>
        <w:t xml:space="preserve">采 </w:t>
      </w:r>
      <w:r>
        <w:rPr>
          <w:rFonts w:hint="eastAsia" w:ascii="方正仿宋_GBK" w:hAnsi="方正仿宋_GBK" w:eastAsia="方正仿宋_GBK" w:cs="方正仿宋_GBK"/>
          <w:b/>
          <w:bCs/>
          <w:color w:val="auto"/>
          <w:sz w:val="30"/>
          <w:szCs w:val="30"/>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 购 </w:t>
      </w:r>
      <w:r>
        <w:rPr>
          <w:rFonts w:hint="eastAsia" w:ascii="方正仿宋_GBK" w:hAnsi="方正仿宋_GBK" w:eastAsia="方正仿宋_GBK" w:cs="方正仿宋_GBK"/>
          <w:b/>
          <w:bCs/>
          <w:color w:val="auto"/>
          <w:sz w:val="30"/>
          <w:szCs w:val="30"/>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 人：</w:t>
      </w:r>
      <w:bookmarkEnd w:id="10"/>
      <w:r/>
      <w:bookmarkEnd w:id="11"/>
      <w:r/>
      <w:bookmarkEnd w:id="12"/>
      <w:r/>
      <w:bookmarkEnd w:id="13"/>
      <w:r>
        <w:rPr>
          <w:rFonts w:hint="eastAsia" w:ascii="方正仿宋_GBK" w:hAnsi="方正仿宋_GBK" w:eastAsia="方正仿宋_GBK" w:cs="方正仿宋_GBK"/>
          <w:b/>
          <w:bCs/>
          <w:color w:val="auto"/>
          <w:sz w:val="30"/>
          <w:szCs w:val="30"/>
          <w:highlight w:val="none"/>
          <w:u w:val="single"/>
          <w:lang w:eastAsia="zh-CN"/>
        </w:rPr>
        <w:t xml:space="preserve">泗洪姜堰实验学校</w:t>
      </w:r>
      <w:r/>
    </w:p>
    <w:p>
      <w:pPr>
        <w:pStyle w:val="861"/>
        <w:jc w:val="center"/>
        <w:spacing w:before="120" w:beforeAutospacing="0" w:after="120" w:afterAutospacing="0" w:line="360" w:lineRule="auto"/>
        <w:rPr>
          <w:rFonts w:hint="eastAsia" w:ascii="方正仿宋_GBK" w:hAnsi="方正仿宋_GBK" w:eastAsia="方正仿宋_GBK" w:cs="方正仿宋_GBK"/>
          <w:b/>
          <w:bCs/>
          <w:color w:val="auto"/>
          <w:sz w:val="30"/>
          <w:szCs w:val="30"/>
          <w:highlight w:val="none"/>
        </w:rPr>
        <w:outlineLvl w:val="0"/>
      </w:pPr>
      <w:r/>
      <w:bookmarkStart w:id="14" w:name="_Toc1955"/>
      <w:r/>
      <w:bookmarkStart w:id="15" w:name="_Toc15097"/>
      <w:r/>
      <w:bookmarkStart w:id="16" w:name="_Toc15872"/>
      <w:r/>
      <w:bookmarkStart w:id="17" w:name="_Toc10024"/>
      <w:r>
        <w:rPr>
          <w:rFonts w:hint="eastAsia" w:ascii="方正仿宋_GBK" w:hAnsi="方正仿宋_GBK" w:eastAsia="方正仿宋_GBK" w:cs="方正仿宋_GBK"/>
          <w:b/>
          <w:bCs/>
          <w:color w:val="auto"/>
          <w:sz w:val="30"/>
          <w:szCs w:val="30"/>
          <w:highlight w:val="none"/>
        </w:rPr>
        <w:t xml:space="preserve">采购代理机构</w:t>
      </w:r>
      <w:r>
        <w:rPr>
          <w:rFonts w:hint="eastAsia" w:ascii="方正仿宋_GBK" w:hAnsi="方正仿宋_GBK" w:eastAsia="方正仿宋_GBK" w:cs="方正仿宋_GBK"/>
          <w:b/>
          <w:bCs/>
          <w:color w:val="auto"/>
          <w:sz w:val="30"/>
          <w:szCs w:val="30"/>
          <w:highlight w:val="none"/>
          <w:lang w:eastAsia="zh-CN"/>
        </w:rPr>
        <w:t xml:space="preserve">：</w:t>
      </w:r>
      <w:r>
        <w:rPr>
          <w:rFonts w:hint="eastAsia" w:ascii="方正仿宋_GBK" w:hAnsi="方正仿宋_GBK" w:eastAsia="方正仿宋_GBK" w:cs="方正仿宋_GBK"/>
          <w:b/>
          <w:bCs/>
          <w:color w:val="auto"/>
          <w:sz w:val="30"/>
          <w:szCs w:val="30"/>
          <w:highlight w:val="none"/>
          <w:u w:val="single"/>
        </w:rPr>
        <w:t xml:space="preserve">泗洪县公共资源交易中心</w:t>
      </w:r>
      <w:bookmarkEnd w:id="14"/>
      <w:r/>
      <w:bookmarkEnd w:id="15"/>
      <w:r/>
      <w:bookmarkEnd w:id="16"/>
      <w:r/>
      <w:bookmarkEnd w:id="17"/>
      <w:r/>
      <w:r/>
    </w:p>
    <w:p>
      <w:pPr>
        <w:pStyle w:val="861"/>
        <w:ind w:firstLine="2570"/>
        <w:jc w:val="both"/>
        <w:spacing w:before="120" w:beforeAutospacing="0" w:after="120" w:afterAutospacing="0" w:line="36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b/>
          <w:bCs/>
          <w:color w:val="auto"/>
          <w:sz w:val="30"/>
          <w:szCs w:val="30"/>
          <w:highlight w:val="none"/>
        </w:rPr>
        <w:t xml:space="preserve">202</w:t>
      </w:r>
      <w:r>
        <w:rPr>
          <w:rFonts w:hint="eastAsia" w:ascii="方正仿宋_GBK" w:hAnsi="方正仿宋_GBK" w:eastAsia="方正仿宋_GBK" w:cs="方正仿宋_GBK"/>
          <w:b/>
          <w:bCs/>
          <w:color w:val="auto"/>
          <w:sz w:val="30"/>
          <w:szCs w:val="30"/>
          <w:highlight w:val="none"/>
          <w:lang w:val="en-US" w:eastAsia="zh-CN"/>
        </w:rPr>
        <w:t xml:space="preserve">5</w:t>
      </w:r>
      <w:r>
        <w:rPr>
          <w:rFonts w:hint="eastAsia" w:ascii="方正仿宋_GBK" w:hAnsi="方正仿宋_GBK" w:eastAsia="方正仿宋_GBK" w:cs="方正仿宋_GBK"/>
          <w:b/>
          <w:bCs/>
          <w:color w:val="auto"/>
          <w:sz w:val="30"/>
          <w:szCs w:val="30"/>
          <w:highlight w:val="none"/>
        </w:rPr>
        <w:t xml:space="preserve"> 年</w:t>
      </w:r>
      <w:r>
        <w:rPr>
          <w:rFonts w:hint="eastAsia" w:ascii="方正仿宋_GBK" w:hAnsi="方正仿宋_GBK" w:eastAsia="方正仿宋_GBK" w:cs="方正仿宋_GBK"/>
          <w:b/>
          <w:bCs/>
          <w:color w:val="auto"/>
          <w:sz w:val="30"/>
          <w:szCs w:val="30"/>
          <w:highlight w:val="none"/>
          <w:lang w:val="en-US" w:eastAsia="zh-CN"/>
        </w:rPr>
        <w:t xml:space="preserve">11月19</w:t>
      </w:r>
      <w:r>
        <w:rPr>
          <w:rFonts w:hint="eastAsia" w:ascii="方正仿宋_GBK" w:hAnsi="方正仿宋_GBK" w:eastAsia="方正仿宋_GBK" w:cs="方正仿宋_GBK"/>
          <w:b/>
          <w:bCs/>
          <w:color w:val="auto"/>
          <w:sz w:val="30"/>
          <w:szCs w:val="30"/>
          <w:highlight w:val="none"/>
        </w:rPr>
        <w:t xml:space="preserve">日</w:t>
      </w:r>
      <w:r>
        <w:rPr>
          <w:rFonts w:hint="eastAsia" w:ascii="方正仿宋_GBK" w:hAnsi="方正仿宋_GBK" w:eastAsia="方正仿宋_GBK" w:cs="方正仿宋_GBK"/>
          <w:b/>
          <w:bCs/>
          <w:color w:val="auto"/>
          <w:sz w:val="30"/>
          <w:szCs w:val="30"/>
          <w:highlight w:val="none"/>
        </w:rPr>
      </w:r>
      <w:r/>
    </w:p>
    <w:p>
      <w:pPr>
        <w:pStyle w:val="861"/>
        <w:jc w:val="center"/>
        <w:keepLines/>
        <w:keepNext/>
        <w:pageBreakBefore/>
        <w:spacing w:before="0" w:beforeAutospacing="0" w:after="0" w:afterAutospacing="0"/>
        <w:rPr>
          <w:rFonts w:hint="eastAsia" w:ascii="方正仿宋_GBK" w:hAnsi="方正仿宋_GBK" w:eastAsia="方正仿宋_GBK" w:cs="方正仿宋_GBK"/>
          <w:b/>
          <w:bCs/>
          <w:color w:val="auto"/>
          <w:sz w:val="28"/>
          <w:szCs w:val="28"/>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hAnsi="方正仿宋_GBK" w:eastAsia="方正仿宋_GBK" w:cs="方正仿宋_GBK"/>
          <w:b/>
          <w:bCs/>
          <w:color w:val="auto"/>
          <w:sz w:val="28"/>
          <w:szCs w:val="28"/>
          <w:highlight w:val="none"/>
          <w:shd w:val="clear" w:color="auto" w:fill="ffffff"/>
        </w:rPr>
      </w:r>
      <w:r/>
    </w:p>
    <w:p>
      <w:pPr>
        <w:pStyle w:val="861"/>
        <w:jc w:val="center"/>
        <w:keepLines/>
        <w:keepNext/>
        <w:pageBreakBefore/>
        <w:spacing w:before="0" w:beforeAutospacing="0" w:after="0" w:afterAutospacing="0"/>
        <w:rPr>
          <w:rFonts w:hint="eastAsia" w:ascii="方正仿宋_GBK" w:hAnsi="方正仿宋_GBK" w:eastAsia="方正仿宋_GBK" w:cs="方正仿宋_GBK"/>
          <w:b/>
          <w:bCs/>
          <w:color w:val="auto"/>
          <w:sz w:val="28"/>
          <w:szCs w:val="28"/>
          <w:highlight w:val="none"/>
          <w:shd w:val="clear" w:color="auto" w:fill="ffffff"/>
        </w:rPr>
      </w:pPr>
      <w:r>
        <w:rPr>
          <w:rFonts w:hint="eastAsia" w:ascii="方正仿宋_GBK" w:hAnsi="方正仿宋_GBK" w:eastAsia="方正仿宋_GBK" w:cs="方正仿宋_GBK"/>
          <w:b/>
          <w:bCs/>
          <w:color w:val="auto"/>
          <w:sz w:val="28"/>
          <w:szCs w:val="28"/>
          <w:highlight w:val="none"/>
          <w:shd w:val="clear" w:color="auto" w:fill="ffffff"/>
        </w:rPr>
        <w:t xml:space="preserve">目 录</w:t>
      </w:r>
      <w:r/>
    </w:p>
    <w:p>
      <w:pPr>
        <w:pStyle w:val="690"/>
        <w:tabs>
          <w:tab w:val="right" w:pos="8306" w:leader="dot"/>
        </w:tabs>
        <w:rPr>
          <w:rFonts w:hint="eastAsia" w:ascii="方正仿宋_GBK" w:hAnsi="方正仿宋_GBK" w:eastAsia="方正仿宋_GBK" w:cs="方正仿宋_GBK"/>
          <w:color w:val="auto"/>
          <w:sz w:val="28"/>
          <w:szCs w:val="28"/>
          <w:highlight w:val="none"/>
        </w:rPr>
      </w:pPr>
      <w:r/>
      <w:bookmarkStart w:id="18" w:name="_Toc81575152"/>
      <w:r/>
      <w:bookmarkStart w:id="19" w:name="_Toc81575189"/>
      <w:r/>
      <w:bookmarkStart w:id="20" w:name="_Toc176774443"/>
      <w:r>
        <w:rPr>
          <w:rFonts w:hint="eastAsia" w:ascii="方正仿宋_GBK" w:hAnsi="方正仿宋_GBK" w:eastAsia="方正仿宋_GBK" w:cs="方正仿宋_GBK"/>
          <w:b/>
          <w:bCs/>
          <w:color w:val="auto"/>
          <w:sz w:val="28"/>
          <w:szCs w:val="28"/>
          <w:highlight w:val="none"/>
          <w:shd w:val="clear" w:color="auto" w:fill="ffffff"/>
        </w:rPr>
        <w:fldChar w:fldCharType="begin"/>
      </w:r>
      <w:r>
        <w:rPr>
          <w:rFonts w:hint="eastAsia" w:ascii="方正仿宋_GBK" w:hAnsi="方正仿宋_GBK" w:eastAsia="方正仿宋_GBK" w:cs="方正仿宋_GBK"/>
          <w:b/>
          <w:bCs/>
          <w:color w:val="auto"/>
          <w:sz w:val="28"/>
          <w:szCs w:val="28"/>
          <w:highlight w:val="none"/>
          <w:shd w:val="clear" w:color="auto" w:fill="ffffff"/>
        </w:rPr>
        <w:instrText xml:space="preserve">TOC \o "1-1" \h \u </w:instrText>
      </w:r>
      <w:r>
        <w:rPr>
          <w:rFonts w:hint="eastAsia" w:ascii="方正仿宋_GBK" w:hAnsi="方正仿宋_GBK" w:eastAsia="方正仿宋_GBK" w:cs="方正仿宋_GBK"/>
          <w:b/>
          <w:bCs/>
          <w:color w:val="auto"/>
          <w:sz w:val="28"/>
          <w:szCs w:val="28"/>
          <w:highlight w:val="none"/>
          <w:shd w:val="clear" w:color="auto" w:fill="ffffff"/>
        </w:rPr>
        <w:fldChar w:fldCharType="separate"/>
      </w:r>
      <w:r/>
    </w:p>
    <w:p>
      <w:pPr>
        <w:pStyle w:val="690"/>
        <w:spacing w:line="360" w:lineRule="auto"/>
        <w:tabs>
          <w:tab w:val="right" w:pos="8306" w:leader="dot"/>
        </w:tabs>
        <w:rPr>
          <w:rFonts w:hint="eastAsia" w:ascii="方正仿宋_GBK" w:hAnsi="方正仿宋_GBK" w:eastAsia="方正仿宋_GBK" w:cs="方正仿宋_GBK"/>
          <w:bCs/>
          <w:color w:val="auto"/>
          <w:sz w:val="28"/>
          <w:szCs w:val="28"/>
          <w:highlight w:val="none"/>
          <w:shd w:val="clear" w:color="auto" w:fill="ffffff"/>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_Toc21993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一</w:t>
      </w:r>
      <w:r>
        <w:rPr>
          <w:rFonts w:hint="eastAsia" w:ascii="方正仿宋_GBK" w:hAnsi="方正仿宋_GBK" w:eastAsia="方正仿宋_GBK" w:cs="方正仿宋_GBK"/>
          <w:bCs/>
          <w:color w:val="auto"/>
          <w:sz w:val="28"/>
          <w:szCs w:val="28"/>
          <w:highlight w:val="none"/>
          <w:shd w:val="clear" w:color="auto" w:fill="ffffff"/>
        </w:rPr>
        <w:t xml:space="preserve">部分  </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投标邀请函</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690"/>
        <w:spacing w:line="360" w:lineRule="auto"/>
        <w:tabs>
          <w:tab w:val="right" w:pos="830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_Toc21993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二</w:t>
      </w:r>
      <w:r>
        <w:rPr>
          <w:rFonts w:hint="eastAsia" w:ascii="方正仿宋_GBK" w:hAnsi="方正仿宋_GBK" w:eastAsia="方正仿宋_GBK" w:cs="方正仿宋_GBK"/>
          <w:bCs/>
          <w:color w:val="auto"/>
          <w:sz w:val="28"/>
          <w:szCs w:val="28"/>
          <w:highlight w:val="none"/>
          <w:shd w:val="clear" w:color="auto" w:fill="ffffff"/>
        </w:rPr>
        <w:t xml:space="preserve">部分  </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投标人须知</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69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_Toc6455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第三部分  资格审查及评标办法</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69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_Toc9629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第四部分  采购需求</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69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_Toc7021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第五部分  合同格式及条款</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69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_Toc20257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第六部分  投标文件格式</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861"/>
        <w:ind w:left="0" w:right="0"/>
        <w:jc w:val="center"/>
        <w:keepLines/>
        <w:keepNext/>
        <w:pageBreakBefore/>
        <w:spacing w:before="0" w:beforeAutospacing="0" w:after="0" w:afterAutospacing="0" w:line="440" w:lineRule="exact"/>
        <w:rPr>
          <w:rFonts w:hint="eastAsia" w:ascii="方正仿宋_GBK" w:hAnsi="方正仿宋_GBK" w:eastAsia="方正仿宋_GBK" w:cs="方正仿宋_GBK"/>
          <w:bCs/>
          <w:color w:val="auto"/>
          <w:sz w:val="28"/>
          <w:szCs w:val="28"/>
          <w:highlight w:val="none"/>
          <w:shd w:val="clear" w:color="auto" w:fill="ffffff"/>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方正仿宋_GBK" w:hAnsi="方正仿宋_GBK" w:eastAsia="方正仿宋_GBK" w:cs="方正仿宋_GBK"/>
          <w:bCs/>
          <w:color w:val="auto"/>
          <w:sz w:val="28"/>
          <w:szCs w:val="28"/>
          <w:highlight w:val="none"/>
          <w:shd w:val="clear" w:color="auto" w:fill="ffffff"/>
        </w:rPr>
      </w:r>
      <w:r/>
    </w:p>
    <w:p>
      <w:pPr>
        <w:pStyle w:val="861"/>
        <w:ind w:left="0" w:right="0"/>
        <w:jc w:val="center"/>
        <w:keepLines/>
        <w:keepNext/>
        <w:pageBreakBefore/>
        <w:spacing w:before="0" w:beforeAutospacing="0" w:after="0" w:afterAutospacing="0" w:line="440" w:lineRule="exact"/>
        <w:rPr>
          <w:rFonts w:hint="eastAsia" w:ascii="方正仿宋_GBK" w:hAnsi="方正仿宋_GBK" w:eastAsia="方正仿宋_GBK" w:cs="方正仿宋_GBK"/>
          <w:b/>
          <w:bCs/>
          <w:color w:val="auto"/>
          <w:sz w:val="30"/>
          <w:szCs w:val="30"/>
          <w:highlight w:val="none"/>
          <w:lang w:val="en-US" w:eastAsia="zh-CN"/>
        </w:rPr>
        <w:outlineLvl w:val="0"/>
      </w:pPr>
      <w:r>
        <w:rPr>
          <w:rFonts w:hint="eastAsia" w:ascii="方正仿宋_GBK" w:hAnsi="方正仿宋_GBK" w:eastAsia="方正仿宋_GBK" w:cs="方正仿宋_GBK"/>
          <w:bCs/>
          <w:color w:val="auto"/>
          <w:sz w:val="28"/>
          <w:szCs w:val="28"/>
          <w:highlight w:val="none"/>
          <w:shd w:val="clear" w:color="auto" w:fill="ffffff"/>
        </w:rPr>
        <w:fldChar w:fldCharType="end"/>
      </w:r>
      <w:bookmarkEnd w:id="18"/>
      <w:r/>
      <w:bookmarkEnd w:id="19"/>
      <w:r/>
      <w:bookmarkEnd w:id="20"/>
      <w:r/>
      <w:bookmarkStart w:id="21" w:name="_Toc21993"/>
      <w:r>
        <w:rPr>
          <w:rFonts w:hint="eastAsia" w:ascii="宋体" w:hAnsi="宋体" w:eastAsia="宋体" w:cs="宋体"/>
          <w:b/>
          <w:bCs/>
          <w:color w:val="auto"/>
          <w:sz w:val="36"/>
          <w:szCs w:val="36"/>
          <w:highlight w:val="none"/>
          <w:lang w:val="en-US" w:eastAsia="zh-CN"/>
        </w:rPr>
        <w:t xml:space="preserve">第一部分  投标邀请函</w:t>
      </w:r>
      <w:bookmarkEnd w:id="21"/>
      <w:r/>
      <w:r/>
    </w:p>
    <w:p>
      <w:pPr>
        <w:pStyle w:val="861"/>
        <w:ind w:left="0" w:right="0" w:firstLine="56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受</w:t>
      </w:r>
      <w:r>
        <w:rPr>
          <w:rFonts w:hint="eastAsia" w:ascii="宋体" w:hAnsi="宋体" w:cs="宋体"/>
          <w:b w:val="0"/>
          <w:bCs w:val="0"/>
          <w:color w:val="auto"/>
          <w:sz w:val="24"/>
          <w:szCs w:val="24"/>
          <w:highlight w:val="none"/>
          <w:u w:val="single"/>
          <w:lang w:eastAsia="zh-CN"/>
        </w:rPr>
        <w:t xml:space="preserve">泗洪姜堰实验学校</w:t>
      </w:r>
      <w:r>
        <w:rPr>
          <w:rFonts w:hint="eastAsia" w:ascii="宋体" w:hAnsi="宋体" w:eastAsia="宋体" w:cs="宋体"/>
          <w:b w:val="0"/>
          <w:bCs w:val="0"/>
          <w:color w:val="auto"/>
          <w:sz w:val="24"/>
          <w:szCs w:val="24"/>
          <w:highlight w:val="none"/>
        </w:rPr>
        <w:t xml:space="preserve">的委托，</w:t>
      </w:r>
      <w:r>
        <w:rPr>
          <w:rFonts w:hint="eastAsia" w:ascii="宋体" w:hAnsi="宋体" w:eastAsia="宋体" w:cs="宋体"/>
          <w:b w:val="0"/>
          <w:bCs w:val="0"/>
          <w:color w:val="auto"/>
          <w:sz w:val="24"/>
          <w:szCs w:val="24"/>
          <w:highlight w:val="none"/>
          <w:u w:val="single"/>
        </w:rPr>
        <w:t xml:space="preserve">泗洪县公共资源交易中心</w:t>
      </w:r>
      <w:r>
        <w:rPr>
          <w:rFonts w:hint="eastAsia" w:ascii="宋体" w:hAnsi="宋体" w:eastAsia="宋体" w:cs="宋体"/>
          <w:b w:val="0"/>
          <w:bCs w:val="0"/>
          <w:color w:val="auto"/>
          <w:sz w:val="24"/>
          <w:szCs w:val="24"/>
          <w:highlight w:val="none"/>
        </w:rPr>
        <w:t xml:space="preserve">就</w:t>
      </w:r>
      <w:r>
        <w:rPr>
          <w:rFonts w:hint="eastAsia" w:ascii="宋体" w:hAnsi="宋体" w:cs="宋体"/>
          <w:b w:val="0"/>
          <w:bCs w:val="0"/>
          <w:color w:val="auto"/>
          <w:sz w:val="24"/>
          <w:szCs w:val="24"/>
          <w:highlight w:val="none"/>
          <w:u w:val="single"/>
          <w:lang w:eastAsia="zh-CN"/>
        </w:rPr>
        <w:t xml:space="preserve">泗洪姜堰实验学校初中部功能室、实验室采购项目</w:t>
      </w:r>
      <w:r>
        <w:rPr>
          <w:rFonts w:hint="eastAsia" w:ascii="宋体" w:hAnsi="宋体" w:eastAsia="宋体" w:cs="宋体"/>
          <w:b w:val="0"/>
          <w:bCs w:val="0"/>
          <w:color w:val="auto"/>
          <w:sz w:val="24"/>
          <w:szCs w:val="24"/>
          <w:highlight w:val="none"/>
          <w:u w:val="single"/>
        </w:rPr>
        <w:t xml:space="preserve">（JSZC-321324-JZCG-G2025-0020</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rPr>
        <w:t xml:space="preserve">公</w:t>
      </w:r>
      <w:r>
        <w:rPr>
          <w:rFonts w:hint="eastAsia" w:ascii="宋体" w:hAnsi="宋体" w:eastAsia="宋体" w:cs="宋体"/>
          <w:color w:val="auto"/>
          <w:sz w:val="24"/>
          <w:szCs w:val="24"/>
          <w:highlight w:val="none"/>
        </w:rPr>
        <w:t xml:space="preserve">开招标采购，欢迎符合条件的投标人投标。</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61"/>
        <w:ind w:left="0" w:right="0" w:firstLine="482"/>
        <w:jc w:val="both"/>
        <w:spacing w:before="0" w:beforeAutospacing="0" w:after="0" w:afterAutospacing="0"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val="0"/>
          <w:bCs w:val="0"/>
          <w:color w:val="auto"/>
          <w:sz w:val="24"/>
          <w:szCs w:val="24"/>
          <w:highlight w:val="none"/>
          <w:u w:val="single"/>
          <w:lang w:eastAsia="zh-CN"/>
        </w:rPr>
        <w:t xml:space="preserve">泗洪姜堰实验学校初中部功能室、实验室采购项目JSZC-321324-JZCG-G2025-0020</w:t>
      </w:r>
      <w:r>
        <w:rPr>
          <w:rFonts w:hint="eastAsia" w:ascii="宋体" w:hAnsi="宋体" w:eastAsia="宋体" w:cs="宋体"/>
          <w:color w:val="auto"/>
          <w:sz w:val="24"/>
          <w:szCs w:val="24"/>
          <w:highlight w:val="none"/>
        </w:rPr>
        <w:t xml:space="preserve">招标项目的潜在投标人应在招标文件提供的时间内，通过“苏采云”系统（网址：http://jszfcg.jsczt.cn/）或宿迁市政府采购网点击“政府采购管理交易系统（苏采云）”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使用CA锁进入系统从“项目参与”--“采购项目”菜单中，找到本项目获取招标文件，并于</w:t>
      </w:r>
      <w:r>
        <w:rPr>
          <w:rFonts w:hint="eastAsia" w:ascii="宋体" w:hAnsi="宋体" w:eastAsia="宋体" w:cs="宋体"/>
          <w:color w:val="0000ff"/>
          <w:sz w:val="24"/>
          <w:szCs w:val="24"/>
          <w:highlight w:val="none"/>
        </w:rPr>
        <w:t xml:space="preserve">2025-</w:t>
      </w:r>
      <w:r>
        <w:rPr>
          <w:rFonts w:hint="eastAsia" w:ascii="宋体" w:hAnsi="宋体" w:cs="宋体"/>
          <w:color w:val="0000ff"/>
          <w:sz w:val="24"/>
          <w:szCs w:val="24"/>
          <w:highlight w:val="none"/>
          <w:lang w:val="en-US" w:eastAsia="zh-CN"/>
        </w:rPr>
        <w:t xml:space="preserve">12</w:t>
      </w:r>
      <w:r>
        <w:rPr>
          <w:rFonts w:hint="eastAsia" w:ascii="宋体" w:hAnsi="宋体" w:eastAsia="宋体" w:cs="宋体"/>
          <w:color w:val="0000ff"/>
          <w:sz w:val="24"/>
          <w:szCs w:val="24"/>
          <w:highlight w:val="none"/>
        </w:rPr>
        <w:t xml:space="preserve">-</w:t>
      </w:r>
      <w:r>
        <w:rPr>
          <w:rFonts w:hint="eastAsia" w:ascii="宋体" w:hAnsi="宋体" w:cs="宋体"/>
          <w:color w:val="0000ff"/>
          <w:sz w:val="24"/>
          <w:szCs w:val="24"/>
          <w:highlight w:val="none"/>
          <w:lang w:val="en-US" w:eastAsia="zh-CN"/>
        </w:rPr>
        <w:t xml:space="preserve">18  </w:t>
      </w:r>
      <w:r>
        <w:rPr>
          <w:rFonts w:hint="eastAsia" w:ascii="宋体" w:hAnsi="宋体" w:eastAsia="宋体" w:cs="宋体"/>
          <w:color w:val="0000ff"/>
          <w:sz w:val="24"/>
          <w:szCs w:val="24"/>
          <w:highlight w:val="none"/>
        </w:rPr>
        <w:t xml:space="preserve">09:00 </w:t>
      </w:r>
      <w:r>
        <w:rPr>
          <w:rFonts w:hint="eastAsia" w:ascii="宋体" w:hAnsi="宋体" w:eastAsia="宋体" w:cs="宋体"/>
          <w:color w:val="auto"/>
          <w:sz w:val="24"/>
          <w:szCs w:val="24"/>
          <w:highlight w:val="none"/>
        </w:rPr>
        <w:t xml:space="preserve">（北京时间）前递交投标文件。</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22" w:name="_Toc28359002"/>
      <w:r/>
      <w:bookmarkStart w:id="23" w:name="_Hlk24379207"/>
      <w:r/>
      <w:bookmarkStart w:id="24" w:name="_Toc35393621"/>
      <w:r/>
      <w:bookmarkStart w:id="25" w:name="_Toc35393790"/>
      <w:r/>
      <w:bookmarkStart w:id="26" w:name="_Toc176774444"/>
      <w:r/>
      <w:bookmarkStart w:id="27" w:name="_Toc28359079"/>
      <w:r/>
      <w:bookmarkStart w:id="28" w:name="_Toc38985263"/>
      <w:r>
        <w:rPr>
          <w:rFonts w:hint="eastAsia" w:ascii="宋体" w:hAnsi="宋体" w:eastAsia="宋体" w:cs="宋体"/>
          <w:color w:val="auto"/>
          <w:sz w:val="24"/>
          <w:szCs w:val="24"/>
          <w:highlight w:val="none"/>
        </w:rPr>
        <w:t xml:space="preserve">一、项目基本情况</w:t>
      </w:r>
      <w:bookmarkEnd w:id="22"/>
      <w:r/>
      <w:bookmarkEnd w:id="23"/>
      <w:r/>
      <w:bookmarkEnd w:id="24"/>
      <w:r/>
      <w:bookmarkEnd w:id="25"/>
      <w:r/>
      <w:bookmarkEnd w:id="26"/>
      <w:r/>
      <w:bookmarkEnd w:id="27"/>
      <w:r/>
      <w:bookmarkEnd w:id="28"/>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1.项目编号：JSZC-321324-JZCG-G2025-0020</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泗洪姜堰实验学校初中部功能室、实验室采购项目</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814.90089万元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采购包1为481.08744万元；采购包2为333.81345万元</w:t>
      </w:r>
      <w:r>
        <w:rPr>
          <w:rFonts w:hint="eastAsia" w:ascii="宋体" w:hAnsi="宋体" w:cs="宋体"/>
          <w:color w:val="auto"/>
          <w:sz w:val="24"/>
          <w:szCs w:val="24"/>
          <w:highlight w:val="none"/>
          <w:lang w:eastAsia="zh-CN"/>
        </w:rPr>
        <w:t xml:space="preserve">）</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rPr>
        <w:t xml:space="preserve">最高限价为</w:t>
      </w:r>
      <w:r>
        <w:rPr>
          <w:rFonts w:hint="eastAsia" w:ascii="宋体" w:hAnsi="宋体" w:cs="宋体"/>
          <w:color w:val="auto"/>
          <w:sz w:val="24"/>
          <w:szCs w:val="24"/>
          <w:highlight w:val="none"/>
          <w:lang w:val="en-US" w:eastAsia="zh-CN"/>
        </w:rPr>
        <w:t xml:space="preserve">481.08744万元</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采购包2最高限价为</w:t>
      </w:r>
      <w:r>
        <w:rPr>
          <w:rFonts w:hint="eastAsia" w:ascii="宋体" w:hAnsi="宋体" w:cs="宋体"/>
          <w:color w:val="auto"/>
          <w:sz w:val="24"/>
          <w:szCs w:val="24"/>
          <w:highlight w:val="none"/>
          <w:lang w:val="en-US" w:eastAsia="zh-CN"/>
        </w:rPr>
        <w:t xml:space="preserve">333.81345万元</w:t>
      </w:r>
      <w:r>
        <w:rPr>
          <w:rFonts w:hint="eastAsia" w:ascii="宋体" w:hAnsi="宋体" w:cs="宋体"/>
          <w:color w:val="auto"/>
          <w:sz w:val="24"/>
          <w:szCs w:val="24"/>
          <w:highlight w:val="none"/>
          <w:u w:val="none"/>
          <w:lang w:val="en-US" w:eastAsia="zh-CN"/>
        </w:rPr>
        <w:t xml:space="preserve">；高于最高限价的，按无效投标处理。</w:t>
      </w:r>
      <w:r>
        <w:rPr>
          <w:rFonts w:hint="eastAsia" w:ascii="宋体" w:hAnsi="宋体" w:eastAsia="宋体" w:cs="宋体"/>
          <w:color w:val="auto"/>
          <w:sz w:val="24"/>
          <w:szCs w:val="24"/>
          <w:highlight w:val="none"/>
        </w:rPr>
        <w:t xml:space="preserve"> </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p>
    <w:p>
      <w:pPr>
        <w:pStyle w:val="86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采购包1：理化生智能吊装实验室、数字化探究实验室、考评实验室等，详见采购需求和采购包1清单。</w:t>
      </w:r>
      <w:r/>
    </w:p>
    <w:p>
      <w:pPr>
        <w:pStyle w:val="86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采购包2：历史地理教室、劳技教室、舞蹈教室、书法教室、美术教室等，详见采购需求和采购包2清单。</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按分包一至分包二的顺序开标、评标、定标，每个投标人可以参与全部分包的投标，但只能中一个分包。被推荐为第一中标候选人的，可以参与其他分包的评标，但不参与</w:t>
      </w:r>
      <w:r>
        <w:rPr>
          <w:rFonts w:hint="eastAsia" w:ascii="Times New Roman" w:hAnsi="Times New Roman" w:cs="仿宋"/>
          <w:color w:val="auto"/>
          <w:sz w:val="24"/>
          <w:szCs w:val="24"/>
          <w:highlight w:val="none"/>
          <w:lang w:eastAsia="zh-CN"/>
        </w:rPr>
        <w:t xml:space="preserve">其他</w:t>
      </w:r>
      <w:r>
        <w:rPr>
          <w:rFonts w:hint="eastAsia" w:ascii="Times New Roman" w:hAnsi="Times New Roman" w:cs="仿宋"/>
          <w:color w:val="auto"/>
          <w:sz w:val="24"/>
          <w:szCs w:val="24"/>
          <w:highlight w:val="none"/>
        </w:rPr>
        <w:t xml:space="preserve">分包中标候选人的推荐。</w:t>
      </w:r>
      <w:r/>
    </w:p>
    <w:p>
      <w:pPr>
        <w:ind w:firstLine="480"/>
        <w:spacing w:line="480" w:lineRule="exact"/>
        <w:rPr>
          <w:rFonts w:hint="eastAsia" w:ascii="宋体" w:hAnsi="宋体" w:eastAsia="宋体" w:cs="宋体"/>
          <w:color w:val="auto"/>
          <w:sz w:val="24"/>
          <w:szCs w:val="24"/>
          <w:highlight w:val="none"/>
        </w:rPr>
      </w:pPr>
      <w:r>
        <w:rPr>
          <w:rFonts w:hint="eastAsia" w:ascii="Times New Roman" w:hAnsi="Times New Roman" w:cs="仿宋"/>
          <w:color w:val="auto"/>
          <w:sz w:val="24"/>
          <w:szCs w:val="24"/>
          <w:highlight w:val="none"/>
        </w:rPr>
        <w:t xml:space="preserve">评审结束后，若其中一个分包受到质疑投诉等原因，导致本分包评审结果改变，但不影响其他分包的评审结果。</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6.合同履行期限：采购合同签</w:t>
      </w:r>
      <w:r>
        <w:rPr>
          <w:rFonts w:hint="eastAsia" w:ascii="宋体" w:hAnsi="宋体" w:eastAsia="宋体" w:cs="宋体"/>
          <w:b w:val="0"/>
          <w:bCs w:val="0"/>
          <w:color w:val="auto"/>
          <w:sz w:val="24"/>
          <w:szCs w:val="24"/>
          <w:highlight w:val="none"/>
        </w:rPr>
        <w:t xml:space="preserve">订后</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日历天内全部供</w:t>
      </w:r>
      <w:r>
        <w:rPr>
          <w:rFonts w:hint="eastAsia" w:ascii="宋体" w:hAnsi="宋体" w:eastAsia="宋体" w:cs="宋体"/>
          <w:color w:val="auto"/>
          <w:sz w:val="24"/>
          <w:szCs w:val="24"/>
          <w:highlight w:val="none"/>
        </w:rPr>
        <w:t xml:space="preserve">货安装完毕并交付使用。</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29" w:name="_Toc28359003"/>
      <w:r/>
      <w:bookmarkStart w:id="30" w:name="_Toc38985264"/>
      <w:r/>
      <w:bookmarkStart w:id="31" w:name="_Toc28359080"/>
      <w:r/>
      <w:bookmarkStart w:id="32" w:name="_Toc176774445"/>
      <w:r/>
      <w:bookmarkStart w:id="33" w:name="_Toc35393791"/>
      <w:r/>
      <w:bookmarkStart w:id="34" w:name="_Toc35393622"/>
      <w:r>
        <w:rPr>
          <w:rFonts w:hint="eastAsia" w:ascii="宋体" w:hAnsi="宋体" w:eastAsia="宋体" w:cs="宋体"/>
          <w:color w:val="auto"/>
          <w:sz w:val="24"/>
          <w:szCs w:val="24"/>
          <w:highlight w:val="none"/>
        </w:rPr>
        <w:t xml:space="preserve">二、申请人的资格要求：</w:t>
      </w:r>
      <w:bookmarkEnd w:id="29"/>
      <w:r/>
      <w:bookmarkEnd w:id="30"/>
      <w:r/>
      <w:bookmarkEnd w:id="31"/>
      <w:r/>
      <w:bookmarkEnd w:id="32"/>
      <w:r/>
      <w:bookmarkEnd w:id="33"/>
      <w:r/>
      <w:bookmarkEnd w:id="34"/>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bookmarkStart w:id="35" w:name="_Toc38985265"/>
      <w:r/>
      <w:bookmarkStart w:id="36" w:name="_Toc28359081"/>
      <w:r/>
      <w:bookmarkStart w:id="37" w:name="_Toc35393792"/>
      <w:r/>
      <w:bookmarkStart w:id="38" w:name="_Toc35393623"/>
      <w:r/>
      <w:bookmarkStart w:id="39" w:name="_Toc28359004"/>
      <w:r>
        <w:rPr>
          <w:rFonts w:hint="eastAsia" w:ascii="宋体" w:hAnsi="宋体" w:eastAsia="宋体" w:cs="宋体"/>
          <w:color w:val="auto"/>
          <w:sz w:val="24"/>
          <w:szCs w:val="24"/>
          <w:highlight w:val="none"/>
        </w:rPr>
        <w:t xml:space="preserve">（一）通用资格要求</w:t>
      </w:r>
      <w:bookmarkEnd w:id="35"/>
      <w:r/>
      <w:bookmarkEnd w:id="36"/>
      <w:r/>
      <w:bookmarkEnd w:id="37"/>
      <w:r/>
      <w:bookmarkEnd w:id="38"/>
      <w:r/>
      <w:bookmarkEnd w:id="39"/>
      <w:r/>
      <w:r/>
    </w:p>
    <w:p>
      <w:pPr>
        <w:pStyle w:val="861"/>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0" w:name="OLE_LINK2"/>
      <w:r>
        <w:rPr>
          <w:rFonts w:hint="eastAsia" w:ascii="宋体" w:hAnsi="宋体" w:eastAsia="宋体" w:cs="宋体"/>
          <w:color w:val="auto"/>
          <w:sz w:val="24"/>
          <w:szCs w:val="24"/>
          <w:highlight w:val="none"/>
        </w:rPr>
        <w:t xml:space="preserve">具备《中华人民共和国政府采购法》第二十二条第一款规定的6项条件（按要求提供</w:t>
      </w:r>
      <w:bookmarkStart w:id="41" w:name="OLE_LINK3"/>
      <w:r>
        <w:rPr>
          <w:rFonts w:hint="eastAsia" w:ascii="宋体" w:hAnsi="宋体" w:eastAsia="宋体" w:cs="宋体"/>
          <w:color w:val="auto"/>
          <w:sz w:val="24"/>
          <w:szCs w:val="24"/>
          <w:highlight w:val="none"/>
        </w:rPr>
        <w:t xml:space="preserve">投标声明及承诺函</w:t>
      </w:r>
      <w:bookmarkEnd w:id="41"/>
      <w:r>
        <w:rPr>
          <w:rFonts w:hint="eastAsia" w:ascii="宋体" w:hAnsi="宋体" w:eastAsia="宋体" w:cs="宋体"/>
          <w:color w:val="auto"/>
          <w:sz w:val="24"/>
          <w:szCs w:val="24"/>
          <w:highlight w:val="none"/>
        </w:rPr>
        <w:t xml:space="preserve">）。</w:t>
      </w:r>
      <w:bookmarkEnd w:id="40"/>
      <w:r/>
      <w:r/>
    </w:p>
    <w:p>
      <w:pPr>
        <w:pStyle w:val="861"/>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rPr>
        <w:t xml:space="preserve">落实政府采购政策需满足的资格要求：</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采购包1：</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微企业（含监狱企业、残疾人福利企业）采购，所投产品制造商应为中小微企业（含监狱企业、残疾人福利企业）（须提供《中小企业或残疾人福利性单位声明函》）。所投产品制造商为非中小微企业（含监狱企业、残疾人福利企业）参与本项目投标，将作无效投标处理。</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专门面向中小微企业（含监狱企业、残疾人福利企业）采购，所投产品制造商应为中小微企业（含监狱企业、残疾人福利企业）（须提供《中小企业或残疾人福利性单位声明函》）。所投产品制造商为非中小微企业（含监狱企业、残疾人福利企业）参与本项目投标，将作无效投标处理。</w:t>
      </w:r>
      <w:r/>
    </w:p>
    <w:p>
      <w:pPr>
        <w:pStyle w:val="861"/>
        <w:numPr>
          <w:ilvl w:val="0"/>
          <w:numId w:val="1"/>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本项目的特定资格要求：</w:t>
      </w:r>
      <w:bookmarkStart w:id="42" w:name="_Toc176774446"/>
      <w:r/>
      <w:r/>
    </w:p>
    <w:p>
      <w:pPr>
        <w:pStyle w:val="861"/>
        <w:numPr>
          <w:ilvl w:val="0"/>
          <w:numId w:val="0"/>
        </w:numPr>
        <w:ind w:left="480" w:right="0"/>
        <w:jc w:val="both"/>
        <w:keepLines w:val="0"/>
        <w:keepNext w:val="0"/>
        <w:pageBreakBefore w:val="0"/>
        <w:spacing w:before="0" w:beforeAutospacing="0" w:after="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w:t>
      </w:r>
      <w:r>
        <w:rPr>
          <w:rFonts w:hint="eastAsia" w:ascii="宋体" w:hAnsi="宋体" w:cs="宋体"/>
          <w:color w:val="auto"/>
          <w:sz w:val="24"/>
          <w:szCs w:val="24"/>
          <w:highlight w:val="none"/>
          <w:lang w:val="en-US" w:eastAsia="zh-CN"/>
        </w:rPr>
        <w:t xml:space="preserve">无。</w:t>
      </w:r>
      <w:r/>
    </w:p>
    <w:p>
      <w:pPr>
        <w:pStyle w:val="861"/>
        <w:numPr>
          <w:ilvl w:val="0"/>
          <w:numId w:val="0"/>
        </w:numPr>
        <w:ind w:left="480" w:right="0"/>
        <w:jc w:val="both"/>
        <w:keepLines w:val="0"/>
        <w:keepNext w:val="0"/>
        <w:pageBreakBefore w:val="0"/>
        <w:spacing w:before="0" w:beforeAutospacing="0" w:after="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无。</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注：单位负责人为同一人或者存在直接控股、管理关系的不同供应商，不得参加同一合同项下的政府采购活动。否则，相关投标均无效。</w:t>
      </w:r>
      <w:r/>
    </w:p>
    <w:p>
      <w:pPr>
        <w:pStyle w:val="861"/>
        <w:numPr>
          <w:ilvl w:val="0"/>
          <w:numId w:val="0"/>
        </w:num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三、获取招标文件</w:t>
      </w:r>
      <w:bookmarkEnd w:id="42"/>
      <w:r/>
      <w:bookmarkStart w:id="43" w:name="_Toc176774447"/>
      <w:r/>
      <w:r/>
    </w:p>
    <w:p>
      <w:pPr>
        <w:pStyle w:val="861"/>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时间：自招标文件公告发布之日起5个工作日</w:t>
      </w:r>
      <w:r/>
    </w:p>
    <w:p>
      <w:pPr>
        <w:pStyle w:val="861"/>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地点：招标文件提供的时间内，通过“苏采云”系统（网址：http://jszfcg.jsczt.cn/）或宿迁市政府采购网点击“政府采购管理交易系统（苏采云）”，使用CA（数字证书）锁进入系统从“项目参与”--“采购项目”菜单中，找到本项目</w:t>
      </w:r>
      <w:r>
        <w:rPr>
          <w:rFonts w:hint="eastAsia" w:ascii="宋体" w:hAnsi="宋体" w:cs="宋体"/>
          <w:b w:val="0"/>
          <w:bCs w:val="0"/>
          <w:color w:val="auto"/>
          <w:sz w:val="24"/>
          <w:szCs w:val="24"/>
          <w:highlight w:val="none"/>
          <w:lang w:val="en-US" w:eastAsia="zh-CN" w:bidi="ar"/>
        </w:rPr>
        <w:t xml:space="preserve">。</w:t>
      </w:r>
      <w:r/>
    </w:p>
    <w:p>
      <w:pPr>
        <w:pStyle w:val="861"/>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方式：投标人应在招标文件提供的时间内，通过“苏采云”系统（网址：http://jszfcg.jsczt.cn/）或宿迁市政府采购网点击“政府采购管理交易系统（苏采云）”，使用CA（数字证书）锁进入系统从“项目参与”--“采购项目”菜单中，找到本项目获取采购文件（后缀名为“.kedt”）。</w:t>
      </w:r>
      <w:r/>
    </w:p>
    <w:p>
      <w:pPr>
        <w:pStyle w:val="852"/>
        <w:ind w:left="0" w:right="0" w:firstLine="467"/>
        <w:jc w:val="both"/>
        <w:keepLines/>
        <w:keepNext/>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售价：0.00元</w:t>
      </w:r>
      <w:r/>
    </w:p>
    <w:p>
      <w:pPr>
        <w:pStyle w:val="852"/>
        <w:ind w:left="0" w:right="0" w:firstLine="467"/>
        <w:jc w:val="both"/>
        <w:keepLines/>
        <w:keepNext/>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本项目共分</w:t>
      </w:r>
      <w:r>
        <w:rPr>
          <w:rFonts w:hint="eastAsia" w:cs="宋体"/>
          <w:b w:val="0"/>
          <w:bCs w:val="0"/>
          <w:color w:val="auto"/>
          <w:sz w:val="24"/>
          <w:szCs w:val="24"/>
          <w:highlight w:val="none"/>
          <w:lang w:val="en-US" w:eastAsia="zh-CN" w:bidi="ar"/>
        </w:rPr>
        <w:t xml:space="preserve">贰</w:t>
      </w:r>
      <w:r>
        <w:rPr>
          <w:rFonts w:hint="eastAsia" w:ascii="宋体" w:hAnsi="宋体" w:eastAsia="宋体" w:cs="宋体"/>
          <w:b w:val="0"/>
          <w:bCs w:val="0"/>
          <w:color w:val="auto"/>
          <w:sz w:val="24"/>
          <w:szCs w:val="24"/>
          <w:highlight w:val="none"/>
          <w:lang w:val="en-US" w:eastAsia="zh-CN" w:bidi="ar"/>
        </w:rPr>
        <w:t xml:space="preserve">个包。投标人未按要求获取招标文件导致无法投标的，后果自负（其投标文件不予接受）。</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四、提交投标文件截止时间、开标时间和地点</w:t>
      </w:r>
      <w:bookmarkEnd w:id="43"/>
      <w:r/>
      <w:r/>
    </w:p>
    <w:p>
      <w:pPr>
        <w:pStyle w:val="861"/>
        <w:ind w:left="0" w:right="0" w:firstLine="56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0000ff"/>
          <w:sz w:val="24"/>
          <w:szCs w:val="24"/>
          <w:highlight w:val="none"/>
          <w:u w:val="single"/>
        </w:rPr>
        <w:t xml:space="preserve">202</w:t>
      </w:r>
      <w:r>
        <w:rPr>
          <w:rFonts w:hint="eastAsia" w:ascii="宋体" w:hAnsi="宋体" w:eastAsia="宋体" w:cs="宋体"/>
          <w:color w:val="0000ff"/>
          <w:sz w:val="24"/>
          <w:szCs w:val="24"/>
          <w:highlight w:val="none"/>
          <w:u w:val="single"/>
          <w:lang w:val="en-US" w:eastAsia="zh-CN"/>
        </w:rPr>
        <w:t xml:space="preserve">5</w:t>
      </w:r>
      <w:r>
        <w:rPr>
          <w:rFonts w:hint="eastAsia" w:ascii="宋体" w:hAnsi="宋体" w:eastAsia="宋体" w:cs="宋体"/>
          <w:color w:val="0000ff"/>
          <w:sz w:val="24"/>
          <w:szCs w:val="24"/>
          <w:highlight w:val="none"/>
          <w:u w:val="single"/>
        </w:rPr>
        <w:t xml:space="preserve">年</w:t>
      </w:r>
      <w:r>
        <w:rPr>
          <w:rFonts w:hint="eastAsia" w:ascii="宋体" w:hAnsi="宋体" w:cs="宋体"/>
          <w:color w:val="0000ff"/>
          <w:sz w:val="24"/>
          <w:szCs w:val="24"/>
          <w:highlight w:val="none"/>
          <w:u w:val="single"/>
          <w:lang w:val="en-US" w:eastAsia="zh-CN"/>
        </w:rPr>
        <w:t xml:space="preserve">12</w:t>
      </w:r>
      <w:r>
        <w:rPr>
          <w:rFonts w:hint="eastAsia" w:ascii="宋体" w:hAnsi="宋体" w:eastAsia="宋体" w:cs="宋体"/>
          <w:color w:val="0000ff"/>
          <w:sz w:val="24"/>
          <w:szCs w:val="24"/>
          <w:highlight w:val="none"/>
          <w:u w:val="single"/>
        </w:rPr>
        <w:t xml:space="preserve">月</w:t>
      </w:r>
      <w:r>
        <w:rPr>
          <w:rFonts w:hint="eastAsia" w:ascii="宋体" w:hAnsi="宋体" w:cs="宋体"/>
          <w:color w:val="0000ff"/>
          <w:sz w:val="24"/>
          <w:szCs w:val="24"/>
          <w:highlight w:val="none"/>
          <w:u w:val="single"/>
          <w:lang w:val="en-US" w:eastAsia="zh-CN"/>
        </w:rPr>
        <w:t xml:space="preserve">18</w:t>
      </w:r>
      <w:r>
        <w:rPr>
          <w:rFonts w:hint="eastAsia" w:ascii="宋体" w:hAnsi="宋体" w:eastAsia="宋体" w:cs="宋体"/>
          <w:color w:val="0000ff"/>
          <w:sz w:val="24"/>
          <w:szCs w:val="24"/>
          <w:highlight w:val="none"/>
          <w:u w:val="single"/>
        </w:rPr>
        <w:t xml:space="preserve">日9点00分</w:t>
      </w:r>
      <w:r>
        <w:rPr>
          <w:rFonts w:hint="eastAsia" w:ascii="宋体" w:hAnsi="宋体" w:eastAsia="宋体" w:cs="宋体"/>
          <w:color w:val="auto"/>
          <w:sz w:val="24"/>
          <w:szCs w:val="24"/>
          <w:highlight w:val="none"/>
        </w:rPr>
        <w:t xml:space="preserve">（北京时间）</w:t>
      </w:r>
      <w:r/>
    </w:p>
    <w:p>
      <w:pPr>
        <w:pStyle w:val="861"/>
        <w:ind w:left="0" w:right="0" w:firstLine="56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44" w:name="_Toc176774448"/>
      <w:r/>
      <w:bookmarkStart w:id="45" w:name="_Toc38985267"/>
      <w:r/>
      <w:bookmarkStart w:id="46" w:name="_Toc35393794"/>
      <w:r/>
      <w:bookmarkStart w:id="47" w:name="_Toc35393625"/>
      <w:r/>
      <w:bookmarkStart w:id="48" w:name="_Toc28359084"/>
      <w:r/>
      <w:bookmarkStart w:id="49" w:name="_Toc28359007"/>
      <w:r>
        <w:rPr>
          <w:rFonts w:hint="eastAsia" w:ascii="宋体" w:hAnsi="宋体" w:eastAsia="宋体" w:cs="宋体"/>
          <w:color w:val="auto"/>
          <w:sz w:val="24"/>
          <w:szCs w:val="24"/>
          <w:highlight w:val="none"/>
        </w:rPr>
        <w:t xml:space="preserve">五、公告期限</w:t>
      </w:r>
      <w:bookmarkEnd w:id="44"/>
      <w:r/>
      <w:bookmarkEnd w:id="45"/>
      <w:r/>
      <w:bookmarkEnd w:id="46"/>
      <w:r/>
      <w:bookmarkEnd w:id="47"/>
      <w:r/>
      <w:bookmarkEnd w:id="48"/>
      <w:r/>
      <w:bookmarkEnd w:id="49"/>
      <w:r/>
      <w:r/>
    </w:p>
    <w:p>
      <w:pPr>
        <w:pStyle w:val="852"/>
        <w:ind w:left="0" w:right="0" w:firstLine="467"/>
        <w:jc w:val="both"/>
        <w:keepLines/>
        <w:keepNext/>
        <w:spacing w:before="0" w:beforeAutospacing="0" w:after="0" w:afterAutospacing="0" w:line="440" w:lineRule="exact"/>
        <w:rPr>
          <w:rFonts w:hint="eastAsia" w:ascii="宋体" w:hAnsi="宋体" w:eastAsia="宋体" w:cs="宋体"/>
          <w:b w:val="0"/>
          <w:bCs w:val="0"/>
          <w:color w:val="auto"/>
          <w:sz w:val="24"/>
          <w:szCs w:val="24"/>
          <w:highlight w:val="none"/>
          <w:lang w:val="en-US" w:eastAsia="zh-CN" w:bidi="ar"/>
        </w:rPr>
      </w:pPr>
      <w:r/>
      <w:bookmarkStart w:id="50" w:name="_Toc176774449"/>
      <w:r>
        <w:rPr>
          <w:rFonts w:hint="eastAsia" w:ascii="宋体" w:hAnsi="宋体" w:eastAsia="宋体" w:cs="宋体"/>
          <w:b w:val="0"/>
          <w:bCs w:val="0"/>
          <w:color w:val="auto"/>
          <w:sz w:val="24"/>
          <w:szCs w:val="24"/>
          <w:highlight w:val="none"/>
          <w:lang w:val="en-US" w:eastAsia="zh-CN" w:bidi="ar"/>
        </w:rPr>
        <w:t xml:space="preserve">自本公告发布之日起5个工作日。</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bookmarkEnd w:id="50"/>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bookmarkStart w:id="51" w:name="_Toc28359085"/>
      <w:r/>
      <w:bookmarkStart w:id="52" w:name="_Toc38985269"/>
      <w:r/>
      <w:bookmarkStart w:id="53" w:name="_Toc28359008"/>
      <w:r/>
      <w:bookmarkStart w:id="54" w:name="_Toc35393627"/>
      <w:r/>
      <w:bookmarkStart w:id="55" w:name="_Toc35393796"/>
      <w:r/>
      <w:bookmarkStart w:id="56" w:name="EB64e1f522fd8c43fcb4d3ba471386b3e7"/>
      <w:r>
        <w:rPr>
          <w:rFonts w:hint="eastAsia" w:ascii="宋体" w:hAnsi="宋体" w:eastAsia="宋体" w:cs="宋体"/>
          <w:color w:val="auto"/>
          <w:sz w:val="24"/>
          <w:szCs w:val="24"/>
          <w:highlight w:val="none"/>
          <w:shd w:val="clear" w:color="auto" w:fill="ffffff"/>
        </w:rPr>
        <w:t xml:space="preserve">1.财政部门监督电话：</w:t>
      </w:r>
      <w:r>
        <w:rPr>
          <w:rFonts w:hint="eastAsia" w:ascii="宋体" w:hAnsi="宋体" w:eastAsia="宋体" w:cs="宋体"/>
          <w:color w:val="auto"/>
          <w:sz w:val="24"/>
          <w:szCs w:val="24"/>
          <w:highlight w:val="none"/>
        </w:rPr>
        <w:t xml:space="preserve">0527-88359233</w:t>
      </w:r>
      <w:r>
        <w:rPr>
          <w:rFonts w:hint="eastAsia" w:ascii="宋体" w:hAnsi="宋体" w:eastAsia="宋体" w:cs="宋体"/>
          <w:color w:val="auto"/>
          <w:sz w:val="24"/>
          <w:szCs w:val="24"/>
          <w:highlight w:val="none"/>
          <w:shd w:val="clear" w:color="auto" w:fill="ffffff"/>
        </w:rPr>
        <w:t xml:space="preserve">。</w:t>
      </w:r>
      <w:bookmarkEnd w:id="51"/>
      <w:r/>
      <w:bookmarkEnd w:id="52"/>
      <w:r/>
      <w:bookmarkEnd w:id="53"/>
      <w:r/>
      <w:bookmarkEnd w:id="54"/>
      <w:r/>
      <w:bookmarkEnd w:id="55"/>
      <w:r/>
      <w:bookmarkEnd w:id="56"/>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2.“CA”数字证书办理：“苏采云”系统目前仅支持“苏采云”系统下的意源CA。省内各地区办理的“苏采云”系统下的意源CA全省通用。宿迁地区CA数字证书办理联系方式：18762803891。</w:t>
      </w:r>
      <w:r/>
    </w:p>
    <w:p>
      <w:pPr>
        <w:pStyle w:val="861"/>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3.宿迁地区“苏采云”技术支持客服电话：0527-84225125、0519-86722806。</w:t>
      </w:r>
      <w:r/>
    </w:p>
    <w:p>
      <w:pPr>
        <w:pStyle w:val="861"/>
        <w:ind w:left="0" w:right="0" w:firstLine="482"/>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4.投标人通过苏采云系统参与政府采购项目，相关操作手册详见链接：http://www.ccgp-jiangsu.gov.cn/jiangsu/zlxz/ee/ee3a4bc5a3454aa2b0d9312230633ce9.html。</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5.现场勘察及答疑：本项目不组织集中勘察及答疑，投标人如对采购需求有疑问，请咨询采购单位联系人。 </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57" w:name="_Toc176774450"/>
      <w:r>
        <w:rPr>
          <w:rFonts w:hint="eastAsia" w:ascii="宋体" w:hAnsi="宋体" w:eastAsia="宋体" w:cs="宋体"/>
          <w:color w:val="auto"/>
          <w:sz w:val="24"/>
          <w:szCs w:val="24"/>
          <w:highlight w:val="none"/>
        </w:rPr>
        <w:t xml:space="preserve">七、本次招标联系方式</w:t>
      </w:r>
      <w:bookmarkEnd w:id="57"/>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1.采购人信息</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u w:val="single"/>
          <w:shd w:val="clear" w:color="auto" w:fill="ffffff"/>
          <w:lang w:eastAsia="zh-CN"/>
        </w:rPr>
        <w:t xml:space="preserve">泗洪姜堰实验学校</w:t>
      </w:r>
      <w:r>
        <w:rPr>
          <w:rFonts w:hint="eastAsia" w:ascii="宋体" w:hAnsi="宋体" w:eastAsia="宋体" w:cs="宋体"/>
          <w:color w:val="auto"/>
          <w:sz w:val="24"/>
          <w:szCs w:val="24"/>
          <w:highlight w:val="none"/>
          <w:u w:val="single"/>
          <w:shd w:val="clear" w:color="auto" w:fill="ffffff"/>
        </w:rPr>
        <w:t xml:space="preserve"> </w:t>
      </w:r>
      <w:r/>
    </w:p>
    <w:p>
      <w:pPr>
        <w:pStyle w:val="861"/>
        <w:ind w:left="0" w:right="0" w:firstLine="480"/>
        <w:jc w:val="both"/>
        <w:spacing w:before="0" w:beforeAutospacing="0" w:after="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u w:val="single"/>
          <w:shd w:val="clear" w:color="auto" w:fill="ffffff"/>
          <w:lang w:val="en-US" w:eastAsia="zh-CN"/>
        </w:rPr>
        <w:t xml:space="preserve">泗洪县青阳镇古徐大道</w:t>
      </w:r>
      <w:r/>
    </w:p>
    <w:p>
      <w:pPr>
        <w:pStyle w:val="861"/>
        <w:ind w:left="0" w:right="0" w:firstLine="480"/>
        <w:jc w:val="both"/>
        <w:spacing w:before="0" w:beforeAutospacing="0" w:after="0" w:afterAutospacing="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rPr>
          <w:rFonts w:hint="eastAsia" w:ascii="宋体" w:hAnsi="宋体" w:cs="宋体"/>
          <w:color w:val="auto"/>
          <w:sz w:val="24"/>
          <w:szCs w:val="24"/>
          <w:highlight w:val="none"/>
          <w:u w:val="single"/>
          <w:lang w:val="en-US" w:eastAsia="zh-CN"/>
        </w:rPr>
        <w:t xml:space="preserve">许宁兵</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15996758631</w:t>
      </w:r>
      <w:r>
        <w:rPr>
          <w:rFonts w:hint="eastAsia" w:ascii="宋体" w:hAnsi="宋体" w:eastAsia="宋体" w:cs="宋体"/>
          <w:color w:val="auto"/>
          <w:sz w:val="24"/>
          <w:szCs w:val="24"/>
          <w:highlight w:val="none"/>
          <w:u w:val="single"/>
          <w:lang w:val="en-US" w:eastAsia="zh-CN"/>
        </w:rPr>
        <w:t xml:space="preserve">  </w:t>
      </w:r>
      <w:r/>
    </w:p>
    <w:p>
      <w:pPr>
        <w:pStyle w:val="861"/>
        <w:ind w:left="0" w:right="0" w:firstLine="480"/>
        <w:spacing w:before="0" w:beforeAutospacing="0" w:after="0" w:afterAutospacing="0" w:line="440" w:lineRule="exact"/>
        <w:widowControl/>
        <w:rPr>
          <w:rFonts w:hint="eastAsia" w:ascii="宋体" w:hAnsi="宋体" w:eastAsia="宋体" w:cs="宋体"/>
          <w:color w:val="auto"/>
          <w:sz w:val="24"/>
          <w:szCs w:val="24"/>
          <w:highlight w:val="none"/>
        </w:rPr>
      </w:pPr>
      <w:r/>
      <w:bookmarkStart w:id="58" w:name="_Toc28359009"/>
      <w:r/>
      <w:bookmarkStart w:id="59" w:name="_Toc28359086"/>
      <w:r>
        <w:rPr>
          <w:rFonts w:hint="eastAsia" w:ascii="宋体" w:hAnsi="宋体" w:eastAsia="宋体" w:cs="宋体"/>
          <w:color w:val="auto"/>
          <w:sz w:val="24"/>
          <w:szCs w:val="24"/>
          <w:highlight w:val="none"/>
        </w:rPr>
        <w:t xml:space="preserve">2.</w:t>
      </w:r>
      <w:bookmarkEnd w:id="58"/>
      <w:r/>
      <w:bookmarkEnd w:id="59"/>
      <w:r>
        <w:rPr>
          <w:rFonts w:hint="eastAsia" w:ascii="宋体" w:hAnsi="宋体" w:eastAsia="宋体" w:cs="宋体"/>
          <w:color w:val="auto"/>
          <w:sz w:val="24"/>
          <w:szCs w:val="24"/>
          <w:highlight w:val="none"/>
        </w:rPr>
        <w:t xml:space="preserve">采购代理机构信息</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shd w:val="clear" w:color="auto" w:fill="ffffff"/>
        </w:rPr>
        <w:t xml:space="preserve">泗</w:t>
      </w:r>
      <w:r>
        <w:rPr>
          <w:rFonts w:hint="eastAsia" w:ascii="宋体" w:hAnsi="宋体" w:eastAsia="宋体" w:cs="宋体"/>
          <w:color w:val="auto"/>
          <w:sz w:val="24"/>
          <w:szCs w:val="24"/>
          <w:highlight w:val="none"/>
          <w:u w:val="single"/>
        </w:rPr>
        <w:t xml:space="preserve">洪县公共资源交易中心</w:t>
      </w:r>
      <w:r>
        <w:rPr>
          <w:rFonts w:hint="eastAsia" w:ascii="宋体" w:hAnsi="宋体" w:eastAsia="宋体" w:cs="宋体"/>
          <w:color w:val="auto"/>
          <w:sz w:val="24"/>
          <w:szCs w:val="24"/>
          <w:highlight w:val="none"/>
          <w:u w:val="single"/>
          <w:shd w:val="clear" w:color="auto" w:fill="ffffff"/>
        </w:rPr>
        <w:t xml:space="preserve"> </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泗洪县仁和路5号</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朱楠</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0527-89889059</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60" w:name="_Toc176774451"/>
      <w:r>
        <w:rPr>
          <w:rFonts w:hint="eastAsia" w:ascii="宋体" w:hAnsi="宋体" w:eastAsia="宋体" w:cs="宋体"/>
          <w:color w:val="auto"/>
          <w:sz w:val="24"/>
          <w:szCs w:val="24"/>
          <w:highlight w:val="none"/>
        </w:rPr>
        <w:t xml:space="preserve">八、其他</w:t>
      </w:r>
      <w:bookmarkEnd w:id="60"/>
      <w:r/>
      <w:r/>
    </w:p>
    <w:p>
      <w:pPr>
        <w:pStyle w:val="861"/>
        <w:ind w:left="0" w:right="0" w:firstLine="480"/>
        <w:jc w:val="left"/>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1.有关本次招标的事项若存在变动或修改，敬请及时关注“宿迁市政府采购网”等平台更正公告。</w:t>
      </w:r>
      <w:r/>
    </w:p>
    <w:p>
      <w:pPr>
        <w:pStyle w:val="861"/>
        <w:ind w:left="0" w:right="0" w:firstLine="480"/>
        <w:jc w:val="left"/>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2.本次招标不收取投标保证金。</w:t>
      </w:r>
      <w:r/>
    </w:p>
    <w:p>
      <w:pPr>
        <w:pStyle w:val="861"/>
        <w:ind w:left="0" w:right="0" w:firstLine="42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bCs/>
          <w:color w:val="auto"/>
          <w:sz w:val="36"/>
          <w:szCs w:val="36"/>
          <w:highlight w:val="none"/>
          <w:lang w:val="en-US" w:eastAsia="zh-CN"/>
        </w:rPr>
        <w:t xml:space="preserve">第二部分  投标人须知</w:t>
      </w:r>
      <w:r/>
    </w:p>
    <w:p>
      <w:pPr>
        <w:pStyle w:val="861"/>
        <w:ind w:left="0" w:right="0"/>
        <w:jc w:val="both"/>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投标人须知前附表：</w:t>
      </w:r>
      <w:bookmarkStart w:id="61" w:name="_Toc81575192"/>
      <w:r/>
      <w:bookmarkEnd w:id="61"/>
      <w:r/>
      <w:bookmarkStart w:id="62" w:name="_Toc8239"/>
      <w:r/>
      <w:bookmarkEnd w:id="62"/>
      <w:r/>
      <w:bookmarkStart w:id="63" w:name="_Toc176774452"/>
      <w:r/>
      <w:r/>
    </w:p>
    <w:tbl>
      <w:tblPr>
        <w:tblStyle w:val="67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6579"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本项目属性按以下第</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1.货物采购；2.服务采购；3.工程采购。</w:t>
            </w:r>
            <w:r/>
          </w:p>
        </w:tc>
      </w:tr>
      <w:tr>
        <w:trPr>
          <w:trHeight w:val="68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bookmarkStart w:id="64" w:name="EBd40b5fb42f2944a3b45e579ce3941f02"/>
            <w:r/>
            <w:bookmarkEnd w:id="64"/>
            <w:r>
              <w:rPr>
                <w:rFonts w:hint="eastAsia" w:ascii="宋体" w:hAnsi="宋体" w:eastAsia="宋体" w:cs="宋体"/>
                <w:color w:val="auto"/>
                <w:sz w:val="24"/>
                <w:szCs w:val="24"/>
                <w:highlight w:val="none"/>
              </w:rPr>
              <w:t xml:space="preserve">60日（从提交投标文件截止之日起算）</w:t>
            </w:r>
            <w:r/>
          </w:p>
        </w:tc>
      </w:tr>
      <w:tr>
        <w:trPr>
          <w:trHeight w:val="68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ind w:left="0" w:right="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种方式确定中标人：</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2.采购人授权评标委员会直接确定中标人。</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rHeight w:val="102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bookmarkStart w:id="65" w:name="EBfe735bb6fc4d4e5e9e350f940db98c5f"/>
            <w:r/>
            <w:bookmarkEnd w:id="65"/>
            <w:r>
              <w:rPr>
                <w:rFonts w:hint="eastAsia" w:ascii="宋体" w:hAnsi="宋体" w:eastAsia="宋体" w:cs="宋体"/>
                <w:color w:val="auto"/>
                <w:sz w:val="24"/>
                <w:szCs w:val="24"/>
                <w:highlight w:val="none"/>
              </w:rPr>
              <w:t xml:space="preserve">本项目不收取代理费。</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6579" w:type="dxa"/>
            <w:vAlign w:val="center"/>
            <w:textDirection w:val="lrTb"/>
            <w:noWrap w:val="false"/>
          </w:tcPr>
          <w:p>
            <w:pPr>
              <w:numPr>
                <w:ilvl w:val="0"/>
                <w:numId w:val="0"/>
              </w:num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bookmarkEnd w:id="63"/>
            <w:r/>
            <w:r/>
          </w:p>
        </w:tc>
      </w:tr>
    </w:tbl>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66" w:name="_Toc30953"/>
      <w:r/>
      <w:bookmarkStart w:id="67" w:name="_Toc81575155"/>
      <w:r>
        <w:rPr>
          <w:rFonts w:hint="eastAsia" w:ascii="宋体" w:hAnsi="宋体" w:eastAsia="宋体" w:cs="宋体"/>
          <w:bCs/>
          <w:color w:val="auto"/>
          <w:sz w:val="24"/>
          <w:szCs w:val="24"/>
          <w:highlight w:val="none"/>
        </w:rPr>
        <w:t xml:space="preserve">一、总 则</w:t>
      </w:r>
      <w:bookmarkEnd w:id="66"/>
      <w:r/>
      <w:bookmarkEnd w:id="6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1、招标方式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本次采购采取公开招标方式。</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2、合格的投标人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2.1合格的投标人必须符合招标文件第一章《投标邀请》第二条及投标人须知前附表相关规定，且具备完成本项目的能力，中标后不允许转包。</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3、适用法律</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本次招标及由招标产生的合同受中华人民共和国的相关法律、法规制约和保护。</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4、投标费用</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投标人应自行承担所有参加投标有关的费用。</w:t>
      </w:r>
      <w:r/>
    </w:p>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68" w:name="_Toc29306"/>
      <w:r/>
      <w:bookmarkStart w:id="69" w:name="_Toc81575193"/>
      <w:r/>
      <w:bookmarkStart w:id="70" w:name="_Toc15995"/>
      <w:r/>
      <w:bookmarkStart w:id="71" w:name="_Toc81575156"/>
      <w:r>
        <w:rPr>
          <w:rFonts w:hint="eastAsia" w:ascii="宋体" w:hAnsi="宋体" w:eastAsia="宋体" w:cs="宋体"/>
          <w:bCs/>
          <w:color w:val="auto"/>
          <w:sz w:val="24"/>
          <w:szCs w:val="24"/>
          <w:highlight w:val="none"/>
        </w:rPr>
        <w:t xml:space="preserve">二、招标文件</w:t>
      </w:r>
      <w:bookmarkEnd w:id="68"/>
      <w:r/>
      <w:bookmarkEnd w:id="69"/>
      <w:r/>
      <w:bookmarkEnd w:id="70"/>
      <w:r/>
      <w:bookmarkEnd w:id="71"/>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5、招标文件构成</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5.1招标文件由以下部分组成：</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第三章：资格审查及评标办法；</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第五章：合同文本；</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第六章：投标文件格式。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6、政府采购政策功能落实</w:t>
      </w:r>
      <w:r/>
    </w:p>
    <w:p>
      <w:pPr>
        <w:ind w:left="0" w:right="0" w:firstLine="482"/>
        <w:pageBreakBefore w:val="0"/>
        <w:spacing w:beforeAutospacing="0" w:afterAutospacing="0" w:line="440" w:lineRule="exact"/>
        <w:widowControl w:val="off"/>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rPr>
        <w:t xml:space="preserve">本项目落实的政府采购政策对应序号为</w:t>
      </w:r>
      <w:r>
        <w:rPr>
          <w:rFonts w:hint="eastAsia" w:ascii="宋体" w:hAnsi="宋体" w:eastAsia="宋体" w:cs="宋体"/>
          <w:b/>
          <w:bCs/>
          <w:color w:val="auto"/>
          <w:sz w:val="24"/>
          <w:szCs w:val="24"/>
          <w:highlight w:val="none"/>
          <w:u w:val="single"/>
        </w:rPr>
        <w:t xml:space="preserve">6.1、6.2 、6.3</w:t>
      </w: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6.4</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6.1中小企业政策</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本项目按第</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none"/>
          <w:lang w:val="en-US" w:eastAsia="zh-CN"/>
        </w:rPr>
        <w:t xml:space="preserve">项</w:t>
      </w:r>
      <w:r>
        <w:rPr>
          <w:rFonts w:hint="eastAsia" w:ascii="宋体" w:hAnsi="宋体" w:eastAsia="宋体" w:cs="宋体"/>
          <w:color w:val="auto"/>
          <w:sz w:val="24"/>
          <w:szCs w:val="24"/>
          <w:highlight w:val="none"/>
        </w:rPr>
        <w:t xml:space="preserve">政策落实：</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（1）本项目专门面向中小企业（含监狱与戒毒企业、残疾人福利企业）采购。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（2）对符合规定情形的小微企业报价给予</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扣除，用扣除后的价格参加评审。</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6.2节能产品、环境标志产品</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6.2.2采购人拟采购的产品属于优先采购的节能环保品目清单范围的，按以下条件优先采购：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6.3政府采购需求标准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6.3.1商品包装、快递包装政府采购需求标准（试行）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6.3.2绿色数据中心政府采购需求标准（试行）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6.3.3绿色建材政府采购需求标准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7、招标文件的澄清或修改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7.2招标文件的澄清、修改将在原公告媒体上发布更正公告，澄清、修改文件均作为招标文件的组成部分，并对投标人具有约束力。</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7.3投标人应及时登录“苏采云”系统获取澄清答疑文件（修改后的招标文件），如投标人未能及时下载澄清答疑文件，造成的相关责任由投标人承担。</w:t>
      </w:r>
      <w:r/>
    </w:p>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72" w:name="_Toc81575157"/>
      <w:r/>
      <w:bookmarkStart w:id="73" w:name="_Toc81575194"/>
      <w:r/>
      <w:bookmarkStart w:id="74" w:name="_Toc5574"/>
      <w:r/>
      <w:bookmarkStart w:id="75" w:name="_Toc11461"/>
      <w:r>
        <w:rPr>
          <w:rFonts w:hint="eastAsia" w:ascii="宋体" w:hAnsi="宋体" w:eastAsia="宋体" w:cs="宋体"/>
          <w:bCs/>
          <w:color w:val="auto"/>
          <w:sz w:val="24"/>
          <w:szCs w:val="24"/>
          <w:highlight w:val="none"/>
        </w:rPr>
        <w:t xml:space="preserve">三、投标文件的编制</w:t>
      </w:r>
      <w:bookmarkEnd w:id="72"/>
      <w:r/>
      <w:bookmarkEnd w:id="73"/>
      <w:r/>
      <w:bookmarkEnd w:id="74"/>
      <w:r/>
      <w:bookmarkEnd w:id="7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8、投标文件的编制要求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8.1投标人应仔细阅读“招标文件”的所有内容，保证所提供的全部资料的真实性、完整性及有效性，以使其投标对“招标文件”作出实质性响应。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9、投标文件构成</w:t>
      </w:r>
      <w:r/>
    </w:p>
    <w:p>
      <w:pPr>
        <w:ind w:left="0" w:right="0" w:firstLine="480"/>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szCs w:val="24"/>
          <w:highlight w:val="none"/>
        </w:rPr>
        <w:t xml:space="preserve">投标文件构成资料为非中文时应提供中文译版。</w:t>
      </w:r>
      <w:bookmarkStart w:id="76" w:name="EBc50e2bb832bb43068403b10c1cce6141"/>
      <w:r/>
      <w:r/>
    </w:p>
    <w:p>
      <w:pPr>
        <w:ind w:left="0" w:right="0" w:firstLine="482"/>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6"/>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10、投标报价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报价为一次报价，本项目不接受备选的投标方案或有选择的报价，只允许有一个报价。投标报价内容包括：所需设备、材料、安装、调试、维护、培训、运输、施工、垃圾清扫和搬运、成品保护、检测、检验、利润、税金、政策性文件规定及本项目包含的所有风险、责任等各项应有费用。</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10.2报价注意事项：投标价格一律以人民币计算，以元为单位标注，最多保留至小数点后两位，招标文件有规定的按招标文件执行。</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11、投标保证金</w:t>
      </w:r>
      <w:bookmarkStart w:id="77" w:name="EB183a0bf075204c54a4ff090f1aecaaa7"/>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本项目不收取投标保证金。</w:t>
      </w:r>
      <w:bookmarkEnd w:id="7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12、投标有效期</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12.1在投标人须知前附表规定的投标有效期内，投标有效期从提交投标文件的截止之日起算。投标有效期比规定短的将被视为未实质性响应招标文件。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78" w:name="_Toc81575195"/>
      <w:r/>
      <w:bookmarkStart w:id="79" w:name="_Toc81575158"/>
      <w:r/>
      <w:bookmarkStart w:id="80" w:name="_Toc2773"/>
      <w:r/>
      <w:bookmarkStart w:id="81" w:name="_Toc23443"/>
      <w:r>
        <w:rPr>
          <w:rFonts w:hint="eastAsia" w:ascii="宋体" w:hAnsi="宋体" w:eastAsia="宋体" w:cs="宋体"/>
          <w:bCs/>
          <w:color w:val="auto"/>
          <w:sz w:val="24"/>
          <w:szCs w:val="24"/>
          <w:highlight w:val="none"/>
        </w:rPr>
        <w:t xml:space="preserve">四、投标文件的提交</w:t>
      </w:r>
      <w:bookmarkEnd w:id="78"/>
      <w:r/>
      <w:bookmarkEnd w:id="79"/>
      <w:r/>
      <w:bookmarkEnd w:id="80"/>
      <w:r/>
      <w:bookmarkEnd w:id="81"/>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13.2投标文件的修改和撤回：在投标截止时间前，投标人可以撤回或重新提交投标文件。投标文件以最终完成上传的为准。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14、投标文件被拒绝接收的情形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在招标文件规定的投标截止时间后上传的投标文件或对投标报价或其他实质性内容修正的文件。</w:t>
      </w:r>
      <w:r/>
    </w:p>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82" w:name="_Toc81575160"/>
      <w:r/>
      <w:bookmarkStart w:id="83" w:name="_Toc20026"/>
      <w:r/>
      <w:bookmarkStart w:id="84" w:name="_Toc959"/>
      <w:r/>
      <w:bookmarkStart w:id="85" w:name="_Toc81575197"/>
      <w:r>
        <w:rPr>
          <w:rFonts w:hint="eastAsia" w:ascii="宋体" w:hAnsi="宋体" w:eastAsia="宋体" w:cs="宋体"/>
          <w:bCs/>
          <w:color w:val="auto"/>
          <w:sz w:val="24"/>
          <w:szCs w:val="24"/>
          <w:highlight w:val="none"/>
        </w:rPr>
        <w:t xml:space="preserve">五、开标、评标程序</w:t>
      </w:r>
      <w:bookmarkEnd w:id="82"/>
      <w:r/>
      <w:bookmarkEnd w:id="83"/>
      <w:r/>
      <w:bookmarkEnd w:id="84"/>
      <w:r/>
      <w:bookmarkEnd w:id="8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15、开标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15.1采购代理机构将在招标公告中规定的时间和地点组织公开开标。投标人应当按照《操作手册》规定，参加开标活动，在“苏采云”系统规定的时间内对投标文件解密。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15.2开标仪式由采购代理机构组织。“苏采云”系统将自动对项目进行开标，并宣布各投标人名称和投标价格。</w:t>
      </w:r>
      <w:r/>
    </w:p>
    <w:p>
      <w:pPr>
        <w:ind w:left="0" w:right="0" w:firstLine="482"/>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15.4投标人如果对开标过程和开标记录有疑义，应当根据《操作手册》规定提出。如“苏采云”系统中《开标记录表》宣布后5分钟内未提出的，视同认可开标结果。</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15.5投标人在开、评标全过程中应保持通讯畅通，及时登录“苏采云”系统查阅、答复相关信息。</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16、评标委员会</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17、评标程序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17.1资格审查</w:t>
      </w:r>
      <w:bookmarkStart w:id="86" w:name="EBa9c0a2c9e523494487594c65b2a92370"/>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开标结束后，采购人依法根据招标文件的规定对投标人的资格证明文件等进行审查。</w:t>
      </w:r>
      <w:bookmarkEnd w:id="86"/>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17.2符合性检查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17.2.1依据招标文件的规定，由评标委员会从投标文件的有效性、完整性和对招标文件的响应程度进行审查，以确定是否对招标文件的实质性要求作出响应。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87" w:name="EB1499356fad43416eb16398733accabf7"/>
      <w:r>
        <w:rPr>
          <w:rFonts w:hint="eastAsia" w:ascii="宋体" w:hAnsi="宋体" w:eastAsia="宋体" w:cs="宋体"/>
          <w:color w:val="auto"/>
          <w:sz w:val="24"/>
          <w:szCs w:val="24"/>
          <w:highlight w:val="none"/>
        </w:rPr>
        <w:t xml:space="preserve">所谓重大偏离是指投标人投标文件中所述设备质量、技术规格、数量、交货期、服务等明显不能满足招标文件要求。</w:t>
      </w:r>
      <w:bookmarkEnd w:id="87"/>
      <w:r>
        <w:rPr>
          <w:rFonts w:hint="eastAsia" w:ascii="宋体" w:hAnsi="宋体" w:eastAsia="宋体" w:cs="宋体"/>
          <w:color w:val="auto"/>
          <w:sz w:val="24"/>
          <w:szCs w:val="24"/>
          <w:highlight w:val="none"/>
        </w:rPr>
        <w:t xml:space="preserve">重大偏离的认定需经过评标委员会以少数服从多数的原则作出结论。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17.5相同品牌产品投标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17.5.3非单一产品采购项目，采购人确定核心产品，并在招标文件中载明。多家投标人提供的核心产品品牌相同的，按前两款规定处理。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17.6有关问题的澄清</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17.6.2投标文件报价出现前后不一致的，除招标文件另有规定外，按照下列规定修正：</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①投标文件中开标一览表（报价表）内容与投标文件中相应内容不一致的，以开标一览表（报价表）为准；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②大写金额和小写金额不一致的，以大写金额为准；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③单价金额小数点或者百分比有明显错位的，以开标一览表的总价为准，并修改单价；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④总价金额与按单价汇总金额不一致的，以单价金额计算结果为准。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17.7异常低价投标审查</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17.7.1评标过程中出现下列情形之一的，评标委员会应当启动异常低价投标审查程序：</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（1）投标报价低于采购项目预算50%的，即投标报价＜采购项目预算×50%；</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（2）投标报价低于采购项目最高限价45%的，即投标报价＜采购项目最高限价×45%；</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hint="eastAsia" w:ascii="宋体" w:hAnsi="宋体" w:eastAsia="宋体" w:cs="宋体"/>
          <w:b/>
          <w:bCs/>
          <w:color w:val="auto"/>
          <w:sz w:val="24"/>
          <w:szCs w:val="24"/>
          <w:highlight w:val="none"/>
        </w:rPr>
      </w:pPr>
      <w:r>
        <w:rPr>
          <w:rFonts w:hint="eastAsia" w:ascii="Times New Roman" w:hAnsi="Times New Roman" w:cs="仿宋"/>
          <w:b/>
          <w:bCs/>
          <w:color w:val="auto"/>
          <w:sz w:val="24"/>
          <w:highlight w:val="none"/>
        </w:rPr>
        <w:t xml:space="preserve">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比较</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评标委员会将按招标文件中规定的评标方法和标准，对符合性检查合格的投标文件进行商务和技术评比。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推荐中标候选人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评标委员会按照招标文件中规定的评标方法和标准推荐中标候选人。</w:t>
      </w:r>
      <w:r/>
    </w:p>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88" w:name="_Toc8712"/>
      <w:r/>
      <w:bookmarkStart w:id="89" w:name="_Toc8841"/>
      <w:r/>
      <w:bookmarkStart w:id="90" w:name="_Toc81575159"/>
      <w:r/>
      <w:bookmarkStart w:id="91" w:name="_Toc81575196"/>
      <w:r>
        <w:rPr>
          <w:rFonts w:hint="eastAsia" w:ascii="宋体" w:hAnsi="宋体" w:eastAsia="宋体" w:cs="宋体"/>
          <w:bCs/>
          <w:color w:val="auto"/>
          <w:sz w:val="24"/>
          <w:szCs w:val="24"/>
          <w:highlight w:val="none"/>
        </w:rPr>
        <w:t xml:space="preserve">六、无效投标、废标、串通投标</w:t>
      </w:r>
      <w:bookmarkEnd w:id="88"/>
      <w:r/>
      <w:bookmarkEnd w:id="89"/>
      <w:r/>
      <w:bookmarkEnd w:id="90"/>
      <w:r/>
      <w:bookmarkEnd w:id="91"/>
      <w:r>
        <w:rPr>
          <w:rFonts w:hint="eastAsia" w:ascii="宋体" w:hAnsi="宋体" w:eastAsia="宋体" w:cs="宋体"/>
          <w:bCs/>
          <w:color w:val="auto"/>
          <w:sz w:val="24"/>
          <w:szCs w:val="24"/>
          <w:highlight w:val="none"/>
        </w:rPr>
        <w:t xml:space="preserve">及取消中标候选人资格情形</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18、无效投标情形</w:t>
      </w:r>
      <w:r/>
    </w:p>
    <w:p>
      <w:pPr>
        <w:ind w:left="0" w:right="0" w:firstLine="480"/>
        <w:pageBreakBefore w:val="0"/>
        <w:spacing w:beforeAutospacing="0" w:afterAutospacing="0" w:line="440" w:lineRule="exact"/>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18.1投标人同一采购包提交两个（含两个）以上不同的投标报价的。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18.3投标人的报价超过了采购预算或最高限价的。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18.4投标文件未通过符合性审查的。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18.7</w:t>
      </w:r>
      <w:r>
        <w:rPr>
          <w:rFonts w:hint="eastAsia" w:ascii="宋体" w:hAnsi="宋体" w:eastAsia="宋体" w:cs="宋体"/>
          <w:color w:val="auto"/>
          <w:sz w:val="24"/>
          <w:szCs w:val="24"/>
          <w:highlight w:val="none"/>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其他法律、法规及本招标文件规定的属无效投标的情形。</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19、废标情形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19.2出现影响采购公正的违法、违规行为的。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19.3因重大变故，采购任务取消的。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19.5在“苏采云”系统规定时间内成功解密电子投标文件的投标人不足3家的。</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20、投标人不足三家情形处理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投标截止后投标人不足3家或者通过资格审查或符合性审查的投标人不足3家的，除采购任务取消情形外，按财政部令第87号第四十三条条款进行处理。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21、串通投标情形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21.6供应商之间事先约定由某一特定供应商中标、成交；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21.9不同投标人的投标文件由同一单位或者个人编制；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21.10不同投标人委托同一单位或者个人办理投标事宜；</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21.13不同投标人的投标文件相互混装；</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21.14不同投标人的投标保证金从同一单位或者个人的账户转出。</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w:t>
      </w:r>
      <w:bookmarkStart w:id="92" w:name="OLE_LINK4"/>
      <w:r>
        <w:rPr>
          <w:rFonts w:hint="eastAsia" w:ascii="宋体" w:hAnsi="宋体" w:eastAsia="宋体" w:cs="宋体"/>
          <w:b/>
          <w:color w:val="auto"/>
          <w:sz w:val="24"/>
          <w:szCs w:val="24"/>
          <w:highlight w:val="none"/>
        </w:rPr>
        <w:t xml:space="preserve">取消中标候选人资格情形</w:t>
      </w:r>
      <w:bookmarkEnd w:id="92"/>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22.1提供虚假材料谋取中标的；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22.2采取不正当手段诋毁、排挤其他投标人的；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22.3与采购人、其他投标人或者采购代理机构恶意串通的；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22.5未在规定时间内与采购人签订采购合同的；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22.6法律、法规规定的其</w:t>
      </w:r>
      <w:r>
        <w:rPr>
          <w:rFonts w:hint="eastAsia" w:ascii="宋体" w:hAnsi="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情况。</w:t>
      </w:r>
      <w:bookmarkStart w:id="93" w:name="_Toc81575198"/>
      <w:r/>
      <w:bookmarkStart w:id="94" w:name="_Toc6494"/>
      <w:r/>
      <w:bookmarkStart w:id="95" w:name="_Toc81575161"/>
      <w:r/>
      <w:bookmarkStart w:id="96" w:name="_Toc2391"/>
      <w:r/>
      <w:r/>
    </w:p>
    <w:p>
      <w:pPr>
        <w:ind w:left="0" w:right="0" w:firstLine="321"/>
        <w:pageBreakBefore w:val="0"/>
        <w:spacing w:beforeAutospacing="0" w:afterAutospacing="0" w:line="440" w:lineRule="exact"/>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七、中标及合同签订</w:t>
      </w:r>
      <w:bookmarkEnd w:id="93"/>
      <w:r/>
      <w:bookmarkEnd w:id="94"/>
      <w:r/>
      <w:bookmarkEnd w:id="95"/>
      <w:r/>
      <w:bookmarkEnd w:id="96"/>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23、确定中标人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23.1采购人应当自收到评审报告之日起5个工作日内在评审报告推荐的中标候选人中按顺序确定中标人。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23.2中标人确定之日起2个工作日内，采购人、采购代理机构将发布中标结果，中标公告的公告期限为1个工作日。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23.3采购人确定正被列为失信被执行人的投标人为中标人的，中标结果无效。</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24、中标通知书</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24.1在公告中标结果的同时，采购代理机构将向中标人发出中标通知书。中标人使用CA数字证书登录“苏采云”系统及时下载中标通知书。</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24.2中标通知书发出后，采购人改变中标结果的，或者中标人放弃中标项目的，应当依法承担法律责任。</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24.3采用综合评分法评审的，未中标人可于中标结果公告期限届满之日起通过“苏采云”系统查看</w:t>
      </w:r>
      <w:bookmarkStart w:id="97" w:name="OLE_LINK5"/>
      <w:r>
        <w:rPr>
          <w:rFonts w:hint="eastAsia" w:ascii="宋体" w:hAnsi="宋体" w:eastAsia="宋体" w:cs="宋体"/>
          <w:color w:val="auto"/>
          <w:sz w:val="24"/>
          <w:szCs w:val="24"/>
          <w:highlight w:val="none"/>
        </w:rPr>
        <w:t xml:space="preserve">自己的评审得分及排序情况。</w:t>
      </w:r>
      <w:bookmarkEnd w:id="9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25、授予合同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25.1采购人与中标人应当在中标通知书发出之日起15日内签订政府采购合同。招标文件、中标人的投标文件以及评标过程中有关澄清文件均作为合同附件。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25.2采购人在自合同签订之日起2个工作日内，将合同在指定的媒体上公告。</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按照以下第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lang w:val="zh-CN"/>
        </w:rPr>
        <w:t xml:space="preserve">方式确定履约保证</w:t>
      </w:r>
      <w:r>
        <w:rPr>
          <w:rFonts w:hint="eastAsia" w:ascii="宋体" w:hAnsi="宋体" w:eastAsia="宋体" w:cs="宋体"/>
          <w:color w:val="auto"/>
          <w:sz w:val="24"/>
          <w:szCs w:val="24"/>
          <w:highlight w:val="none"/>
        </w:rPr>
        <w:t xml:space="preserve">金</w:t>
      </w:r>
      <w:r>
        <w:rPr>
          <w:rFonts w:hint="eastAsia" w:ascii="宋体" w:hAnsi="宋体" w:eastAsia="宋体" w:cs="宋体"/>
          <w:color w:val="auto"/>
          <w:sz w:val="24"/>
          <w:szCs w:val="24"/>
          <w:highlight w:val="none"/>
          <w:lang w:val="zh-CN"/>
        </w:rPr>
        <w:t xml:space="preserve">收取方式。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（1）本项目不收取履约保证金。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（2）本项目收取履约保证金。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26.1履约保证金提交形式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履约保证金应在</w:t>
      </w:r>
      <w:r>
        <w:rPr>
          <w:rFonts w:hint="eastAsia" w:ascii="宋体" w:hAnsi="宋体" w:eastAsia="宋体" w:cs="宋体"/>
          <w:color w:val="auto"/>
          <w:sz w:val="24"/>
          <w:szCs w:val="24"/>
          <w:highlight w:val="none"/>
          <w:lang w:val="zh-CN"/>
        </w:rPr>
        <w:t xml:space="preserve">中标结果公告发布后</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个</w:t>
      </w:r>
      <w:r>
        <w:rPr>
          <w:rFonts w:hint="eastAsia" w:ascii="宋体" w:hAnsi="宋体" w:cs="宋体"/>
          <w:color w:val="auto"/>
          <w:sz w:val="24"/>
          <w:szCs w:val="24"/>
          <w:highlight w:val="none"/>
          <w:lang w:val="en-US" w:eastAsia="zh-CN"/>
        </w:rPr>
        <w:t xml:space="preserve">日历天</w:t>
      </w:r>
      <w:r>
        <w:rPr>
          <w:rFonts w:hint="eastAsia" w:ascii="宋体" w:hAnsi="宋体" w:eastAsia="宋体" w:cs="宋体"/>
          <w:color w:val="auto"/>
          <w:sz w:val="24"/>
          <w:szCs w:val="24"/>
          <w:highlight w:val="none"/>
          <w:lang w:val="zh-CN"/>
        </w:rPr>
        <w:t xml:space="preserve">内提交</w:t>
      </w:r>
      <w:r>
        <w:rPr>
          <w:rFonts w:hint="eastAsia" w:ascii="宋体" w:hAnsi="宋体" w:eastAsia="宋体" w:cs="宋体"/>
          <w:color w:val="auto"/>
          <w:sz w:val="24"/>
          <w:szCs w:val="24"/>
          <w:highlight w:val="none"/>
        </w:rPr>
        <w:t xml:space="preserve">，除银行电汇、网上银行、数字人民币外，投标人还可选用银行保函、担保公司的保证担保或保险公司的保证保险等多种形式向采购人缴纳。</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26.2履约保证金提交金额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按采购合同总价的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%（履约保证金原提交金额的6折）提交。办理流程、偿付等内容见江苏政府采购网“保险保函”模块。</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26.3履约保证金退还方式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26.4履约保证金退还条件</w:t>
      </w:r>
      <w:r/>
    </w:p>
    <w:p>
      <w:pPr>
        <w:ind w:left="479"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货物类项目，项目验收合格，出具验收报告及履约保证金收据申请退付；26.5履约保证金退还时间</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采购人收到投标人退付申请后5个工作日内退还。</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26.6履约保证金不予退还情形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除不可抗力外，中标人不履行与采购人订立的采购合同的，履约保证金不予退还，给采购人造成的损失超过履约保证金数额的，还应对超过部分予以赔偿。</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26.7逾期退还履约保证金违约责任</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具体操作流程见相关网页http://czt.jiangsu.gov.cn/art/2023/12/15/art_84851_11100104.html。</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26.8如中标人未在规定时间内缴纳履约保证金，视为虚假承诺，采购人有权报请财政部门进行处理。</w:t>
      </w:r>
      <w:r/>
    </w:p>
    <w:p>
      <w:pPr>
        <w:ind w:left="0" w:right="0" w:firstLine="482"/>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27、政府采购履约资金扶持政策</w:t>
      </w:r>
      <w:r/>
    </w:p>
    <w:p>
      <w:pPr>
        <w:ind w:left="0" w:right="0" w:firstLine="482"/>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江苏省财政厅、中国人民银行南京分行《关于深入推进政府采购线上合同信用融资工作的通知》（苏财购〔2021〕82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left="0" w:right="0" w:firstLine="482"/>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28、合同履行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28.1政府采购合同订立后，合同各方不得擅自变更、中止或者终止合同。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917"/>
        <w:ind w:left="0" w:right="0"/>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98" w:name="_Toc81575162"/>
      <w:r/>
      <w:bookmarkStart w:id="99" w:name="_Toc7550"/>
      <w:r/>
      <w:bookmarkStart w:id="100" w:name="_Toc81575199"/>
      <w:r/>
      <w:bookmarkStart w:id="101" w:name="_Toc22084"/>
      <w:r>
        <w:rPr>
          <w:rFonts w:hint="eastAsia" w:ascii="宋体" w:hAnsi="宋体" w:eastAsia="宋体" w:cs="宋体"/>
          <w:bCs/>
          <w:color w:val="auto"/>
          <w:sz w:val="24"/>
          <w:szCs w:val="24"/>
          <w:highlight w:val="none"/>
        </w:rPr>
        <w:t xml:space="preserve">八、</w:t>
      </w:r>
      <w:bookmarkEnd w:id="98"/>
      <w:r/>
      <w:bookmarkEnd w:id="99"/>
      <w:r/>
      <w:bookmarkEnd w:id="100"/>
      <w:r/>
      <w:bookmarkEnd w:id="101"/>
      <w:r/>
      <w:bookmarkStart w:id="102" w:name="_Toc31888"/>
      <w:r/>
      <w:bookmarkStart w:id="103" w:name="_Toc12263"/>
      <w:r/>
      <w:bookmarkStart w:id="104" w:name="_Toc81575200"/>
      <w:r/>
      <w:bookmarkStart w:id="105" w:name="_Toc81575163"/>
      <w:r>
        <w:rPr>
          <w:rFonts w:hint="eastAsia" w:ascii="宋体" w:hAnsi="宋体" w:eastAsia="宋体" w:cs="宋体"/>
          <w:bCs/>
          <w:color w:val="auto"/>
          <w:sz w:val="24"/>
          <w:szCs w:val="24"/>
          <w:highlight w:val="none"/>
        </w:rPr>
        <w:t xml:space="preserve">质疑与投诉</w:t>
      </w:r>
      <w:bookmarkEnd w:id="102"/>
      <w:r/>
      <w:bookmarkEnd w:id="103"/>
      <w:r/>
      <w:bookmarkEnd w:id="104"/>
      <w:r/>
      <w:bookmarkEnd w:id="10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29.1供应商认为采购文件、采购过程和中标结果使自己的权益受到损害的，可以在知道或者应知其权益受到损害之日起七个工作日内，（具体起算时间见</w:t>
      </w: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.2），以书面形式向采购人或者其委托的采购代理机构提出质疑。质疑超出采购机构代理范围的，投标人应当向采购人提出。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本项目接收质疑函的方式：现场接收或邮寄接收。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lang w:eastAsia="zh-CN"/>
        </w:rPr>
        <w:t xml:space="preserve">泗洪姜堰实验学校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泗洪县公共资源交易中心</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联系电话：15996758631  </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通讯地址：泗洪县青阳镇古徐大道</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29.2供应商应知其权益受到损害之日，是指：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（1）对本项目采购文件提出质疑的，为获取采购文件之日或者采购文件公告期限届满之日；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（2）对本项目采购过程提出质疑的，为各采购程序环节结束之日；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（3）对本项目中标结果提出质疑的，为中标结果公告期限届满之日。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29.4供应商提出质疑应当提交质疑函和必要的证明材料。质疑函的必备内容：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（3）获取采购文件的时间；</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（4）具体、明确的质疑事项和质疑事项相关的请求；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（5）事实依据；</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（6）必要的法律依据；</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（7）提出质疑的日期；</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（8）供应商为自然人的，由本人签字；供应商为法人或者其他组织的，应当由法定代表人、主要负责人，或者其授权代表签字或者盖章，并加盖公章；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29.5采购人在收到质疑函后7个工作日内作出答复，并以书面形式通知质疑供应商和其他有关供应商，但质疑答复的内容不涉及商业秘密。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30、投诉</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质疑供应商对答复不满意或采购人未在规定时间内作出答复的，可在答复期满后15个工作日内向同级财政部门提起投诉。</w:t>
      </w:r>
      <w:r/>
    </w:p>
    <w:p>
      <w:pPr>
        <w:pStyle w:val="86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br w:type="page" w:clear="all"/>
      </w:r>
      <w:r/>
    </w:p>
    <w:p>
      <w:pPr>
        <w:pStyle w:val="861"/>
        <w:ind w:left="0" w:right="0"/>
        <w:jc w:val="center"/>
        <w:keepLines/>
        <w:keepNext/>
        <w:pageBreakBefore/>
        <w:spacing w:before="0" w:beforeAutospacing="0" w:after="0" w:afterAutospacing="0" w:line="440" w:lineRule="exact"/>
        <w:rPr>
          <w:rFonts w:hint="eastAsia" w:ascii="宋体" w:hAnsi="宋体" w:eastAsia="宋体" w:cs="宋体"/>
          <w:b/>
          <w:bCs/>
          <w:color w:val="auto"/>
          <w:sz w:val="36"/>
          <w:szCs w:val="36"/>
          <w:highlight w:val="none"/>
          <w:lang w:val="en-US" w:eastAsia="zh-CN"/>
        </w:rPr>
        <w:outlineLvl w:val="0"/>
      </w:pPr>
      <w:r/>
      <w:bookmarkStart w:id="106" w:name="_Toc81575164"/>
      <w:r/>
      <w:bookmarkStart w:id="107" w:name="_Toc81575201"/>
      <w:r/>
      <w:bookmarkStart w:id="108" w:name="_Toc6455"/>
      <w:r>
        <w:rPr>
          <w:rFonts w:hint="eastAsia" w:ascii="宋体" w:hAnsi="宋体" w:eastAsia="宋体" w:cs="宋体"/>
          <w:b/>
          <w:bCs/>
          <w:color w:val="auto"/>
          <w:sz w:val="36"/>
          <w:szCs w:val="36"/>
          <w:highlight w:val="none"/>
          <w:lang w:val="en-US" w:eastAsia="zh-CN"/>
        </w:rPr>
        <w:t xml:space="preserve">第三部分  资格审查及评标办法</w:t>
      </w:r>
      <w:bookmarkEnd w:id="106"/>
      <w:r/>
      <w:bookmarkEnd w:id="107"/>
      <w:r/>
      <w:bookmarkEnd w:id="108"/>
      <w:r/>
      <w:r/>
    </w:p>
    <w:p>
      <w:pPr>
        <w:pStyle w:val="861"/>
        <w:ind w:left="0" w:right="0" w:firstLine="643"/>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一、资格审查</w:t>
      </w:r>
      <w:r/>
    </w:p>
    <w:p>
      <w:pPr>
        <w:pStyle w:val="861"/>
        <w:ind w:left="0" w:right="0" w:firstLine="42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资格审查人员按照下列指标对各投标人的资格进行审查，未通过审查的为无效标，不参与评标。</w:t>
      </w:r>
      <w:r/>
    </w:p>
    <w:tbl>
      <w:tblPr>
        <w:tblStyle w:val="677"/>
        <w:tblW w:w="921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spacing w:beforeAutospacing="0" w:afterAutospacing="0" w:line="440" w:lineRule="exact"/>
              <w:rPr>
                <w:rFonts w:hint="eastAsia" w:ascii="宋体" w:hAnsi="宋体" w:eastAsia="宋体" w:cs="宋体"/>
                <w:b/>
                <w:bCs/>
                <w:color w:val="auto"/>
                <w:sz w:val="24"/>
                <w:szCs w:val="24"/>
                <w:highlight w:val="none"/>
              </w:rPr>
            </w:pPr>
            <w:r/>
            <w:bookmarkStart w:id="109" w:name="EB9af8278fd1df4f8591f0fad951f64ddb"/>
            <w:r>
              <w:rPr>
                <w:rFonts w:hint="eastAsia" w:ascii="宋体" w:hAnsi="宋体" w:eastAsia="宋体" w:cs="宋体"/>
                <w:b/>
                <w:bCs/>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审查标准</w:t>
            </w:r>
            <w:r/>
          </w:p>
        </w:tc>
      </w:tr>
      <w:tr>
        <w:trPr>
          <w:trHeight w:val="355"/>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shd w:val="clear" w:color="auto" w:fill="auto"/>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信用信息</w:t>
            </w:r>
            <w:bookmarkEnd w:id="109"/>
            <w:r/>
            <w:r/>
          </w:p>
        </w:tc>
        <w:tc>
          <w:tcPr>
            <w:shd w:val="clear" w:color="auto" w:fill="auto"/>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本项目不接受联合体</w:t>
            </w:r>
            <w:r/>
          </w:p>
        </w:tc>
      </w:tr>
    </w:tbl>
    <w:p>
      <w:pPr>
        <w:pStyle w:val="861"/>
        <w:ind w:left="0" w:right="0" w:firstLine="643"/>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二、评分办法—综合评分法</w:t>
      </w:r>
      <w:r/>
    </w:p>
    <w:p>
      <w:pPr>
        <w:pStyle w:val="861"/>
        <w:ind w:left="0" w:right="0" w:firstLine="482"/>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1、评标办法：</w:t>
      </w:r>
      <w:r>
        <w:rPr>
          <w:rFonts w:hint="eastAsia" w:ascii="宋体" w:hAnsi="宋体" w:eastAsia="宋体" w:cs="宋体"/>
          <w:color w:val="auto"/>
          <w:sz w:val="24"/>
          <w:szCs w:val="24"/>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861"/>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p>
    <w:p>
      <w:pPr>
        <w:pStyle w:val="861"/>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综合评分保留至小数点后两位。 </w:t>
      </w:r>
      <w:r/>
    </w:p>
    <w:p>
      <w:pPr>
        <w:pStyle w:val="861"/>
        <w:ind w:left="0" w:right="0" w:firstLine="482"/>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2、符合性审查。</w:t>
      </w:r>
      <w:r>
        <w:rPr>
          <w:rFonts w:hint="eastAsia" w:ascii="宋体" w:hAnsi="宋体" w:eastAsia="宋体" w:cs="宋体"/>
          <w:color w:val="auto"/>
          <w:sz w:val="24"/>
          <w:szCs w:val="24"/>
          <w:highlight w:val="none"/>
          <w:shd w:val="clear" w:color="auto" w:fill="ffffff"/>
        </w:rPr>
        <w:t xml:space="preserve">评标委员会首先按照下列指标对各投标人的投标文件进行符合性审查，未通过审查的为无效标，不再参与评审。</w:t>
      </w:r>
      <w:r/>
    </w:p>
    <w:tbl>
      <w:tblPr>
        <w:tblStyle w:val="677"/>
        <w:tblW w:w="921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firstLine="480"/>
              <w:jc w:val="center"/>
              <w:spacing w:beforeAutospacing="0" w:afterAutospacing="0" w:line="440" w:lineRule="exact"/>
              <w:rPr>
                <w:rFonts w:hint="eastAsia" w:ascii="宋体" w:hAnsi="宋体" w:eastAsia="宋体" w:cs="宋体"/>
                <w:b/>
                <w:bCs/>
                <w:color w:val="auto"/>
                <w:sz w:val="24"/>
                <w:szCs w:val="24"/>
                <w:highlight w:val="none"/>
              </w:rPr>
            </w:pPr>
            <w:r/>
            <w:bookmarkStart w:id="110" w:name="EB75d0996a6f1d4348a21f8c3293010436"/>
            <w:r>
              <w:rPr>
                <w:rFonts w:hint="eastAsia" w:ascii="宋体" w:hAnsi="宋体" w:eastAsia="宋体" w:cs="宋体"/>
                <w:b/>
                <w:bCs/>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firstLine="48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bookmarkEnd w:id="110"/>
            <w:r/>
            <w:r/>
          </w:p>
        </w:tc>
      </w:tr>
    </w:tbl>
    <w:p>
      <w:pPr>
        <w:pStyle w:val="861"/>
        <w:ind w:left="0" w:right="0" w:firstLine="482"/>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lang w:val="en-US" w:eastAsia="zh-CN"/>
        </w:rPr>
        <w:t xml:space="preserve">3、</w:t>
      </w:r>
      <w:r>
        <w:rPr>
          <w:rFonts w:hint="eastAsia" w:ascii="宋体" w:hAnsi="宋体" w:eastAsia="宋体" w:cs="宋体"/>
          <w:b/>
          <w:bCs/>
          <w:color w:val="auto"/>
          <w:sz w:val="24"/>
          <w:szCs w:val="24"/>
          <w:highlight w:val="none"/>
          <w:shd w:val="clear" w:color="auto" w:fill="ffffff"/>
        </w:rPr>
        <w:t xml:space="preserve">详细评审。</w:t>
      </w:r>
      <w:r>
        <w:rPr>
          <w:rFonts w:hint="eastAsia" w:ascii="宋体" w:hAnsi="宋体" w:eastAsia="宋体" w:cs="宋体"/>
          <w:color w:val="auto"/>
          <w:sz w:val="24"/>
          <w:szCs w:val="24"/>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p>
    <w:p>
      <w:pPr>
        <w:pStyle w:val="861"/>
        <w:ind w:left="0" w:right="0" w:firstLine="482"/>
        <w:spacing w:before="0" w:beforeAutospacing="0" w:after="0" w:afterAutospacing="0" w:line="440" w:lineRule="exact"/>
        <w:rPr>
          <w:rFonts w:hint="default" w:ascii="宋体" w:hAnsi="宋体" w:eastAsia="宋体" w:cs="宋体"/>
          <w:b/>
          <w:bCs/>
          <w:color w:val="auto"/>
          <w:sz w:val="24"/>
          <w:szCs w:val="24"/>
          <w:highlight w:val="none"/>
          <w:shd w:val="clear" w:color="auto" w:fill="ffffff"/>
          <w:lang w:val="en-US" w:eastAsia="zh-CN"/>
        </w:rPr>
      </w:pPr>
      <w:r>
        <w:rPr>
          <w:rFonts w:hint="eastAsia" w:ascii="宋体" w:hAnsi="宋体" w:cs="宋体"/>
          <w:b/>
          <w:bCs/>
          <w:color w:val="auto"/>
          <w:sz w:val="24"/>
          <w:szCs w:val="24"/>
          <w:highlight w:val="none"/>
          <w:shd w:val="clear" w:color="auto" w:fill="ffffff"/>
          <w:lang w:val="en-US" w:eastAsia="zh-CN"/>
        </w:rPr>
        <w:t xml:space="preserve">采购包1：</w:t>
      </w:r>
      <w:r/>
    </w:p>
    <w:tbl>
      <w:tblPr>
        <w:tblStyle w:val="677"/>
        <w:tblW w:w="8950"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3"/>
        <w:gridCol w:w="1325"/>
        <w:gridCol w:w="1223"/>
        <w:gridCol w:w="5439"/>
      </w:tblGrid>
      <w:tr>
        <w:trPr>
          <w:trHeight w:val="510"/>
        </w:trPr>
        <w:tc>
          <w:tcPr>
            <w:gridSpan w:val="2"/>
            <w:tcW w:w="2288"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1223"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5439"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即满足招标文件要求且投标价格最低的投标报价为评标基准价，其价格为满分30分，其他投标人的价格分别按照下列公式计算：投标报价得分=（评标基准价/投标报价）×30，小数点保留2位。</w:t>
            </w:r>
            <w:r/>
          </w:p>
        </w:tc>
      </w:tr>
      <w:tr>
        <w:trPr>
          <w:trHeight w:val="23"/>
        </w:trPr>
        <w:tc>
          <w:tcPr>
            <w:tcW w:w="963"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1" w:name="OLE_LINK30"/>
            <w:r>
              <w:rPr>
                <w:rFonts w:hint="eastAsia" w:ascii="宋体" w:hAnsi="宋体" w:eastAsia="宋体" w:cs="宋体"/>
                <w:color w:val="auto"/>
                <w:sz w:val="24"/>
                <w:szCs w:val="24"/>
                <w:highlight w:val="none"/>
              </w:rPr>
              <w:t xml:space="preserve">技术响应</w:t>
            </w:r>
            <w:bookmarkEnd w:id="111"/>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p>
        </w:tc>
        <w:tc>
          <w:tcPr>
            <w:tcW w:w="1223" w:type="dxa"/>
            <w:vAlign w:val="center"/>
            <w:textDirection w:val="lrTb"/>
            <w:noWrap w:val="false"/>
          </w:tcPr>
          <w:p>
            <w:pPr>
              <w:ind w:left="0" w:right="0" w:firstLine="480"/>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针对招标文件“第四部分、采购需求”中的“三、</w:t>
            </w:r>
            <w:r>
              <w:rPr>
                <w:rFonts w:hint="eastAsia" w:ascii="宋体" w:hAnsi="宋体" w:cs="宋体"/>
                <w:color w:val="auto"/>
                <w:sz w:val="24"/>
                <w:szCs w:val="24"/>
                <w:highlight w:val="none"/>
                <w:lang w:val="en-US" w:eastAsia="zh-CN"/>
              </w:rPr>
              <w:t xml:space="preserve">采购清单及</w:t>
            </w:r>
            <w:r>
              <w:rPr>
                <w:rFonts w:hint="eastAsia" w:ascii="宋体" w:hAnsi="宋体" w:eastAsia="宋体" w:cs="宋体"/>
                <w:color w:val="auto"/>
                <w:sz w:val="24"/>
                <w:szCs w:val="24"/>
                <w:highlight w:val="none"/>
              </w:rPr>
              <w:t xml:space="preserve">技术参数要求”所列内容进行评分，所投产品技术参数完全满足或优于招标文件技术参数要求的得</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w:t>
            </w:r>
            <w:r/>
          </w:p>
          <w:p>
            <w:pPr>
              <w:numPr>
                <w:ilvl w:val="0"/>
                <w:numId w:val="0"/>
              </w:num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为重点参数要求，每有一项不满足的扣</w:t>
            </w:r>
            <w:r>
              <w:rPr>
                <w:rFonts w:hint="eastAsia" w:ascii="宋体" w:hAnsi="宋体" w:cs="宋体"/>
                <w:color w:val="auto"/>
                <w:sz w:val="24"/>
                <w:szCs w:val="24"/>
                <w:highlight w:val="none"/>
                <w:u w:val="single"/>
                <w:lang w:val="en-US" w:eastAsia="zh-CN"/>
              </w:rPr>
              <w:t xml:space="preserve">0.4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按照要求</w:t>
            </w:r>
            <w:r>
              <w:rPr>
                <w:rFonts w:hint="eastAsia" w:ascii="宋体" w:hAnsi="宋体" w:eastAsia="宋体" w:cs="宋体"/>
                <w:color w:val="auto"/>
                <w:sz w:val="24"/>
                <w:szCs w:val="24"/>
                <w:highlight w:val="none"/>
              </w:rPr>
              <w:t xml:space="preserve">在投标文件《技术响应偏离表》中逐条列出响应及偏离情况</w:t>
            </w:r>
            <w:r>
              <w:rPr>
                <w:rFonts w:hint="eastAsia" w:ascii="宋体" w:hAnsi="宋体" w:eastAsia="宋体" w:cs="宋体"/>
                <w:color w:val="auto"/>
                <w:sz w:val="24"/>
                <w:szCs w:val="24"/>
                <w:highlight w:val="none"/>
                <w:lang w:val="en-US" w:eastAsia="zh-CN"/>
              </w:rPr>
              <w:t xml:space="preserve">并</w:t>
            </w:r>
            <w:r>
              <w:rPr>
                <w:rFonts w:hint="eastAsia" w:ascii="宋体" w:hAnsi="宋体" w:cs="宋体"/>
                <w:color w:val="auto"/>
                <w:sz w:val="24"/>
                <w:szCs w:val="24"/>
                <w:highlight w:val="none"/>
                <w:lang w:val="en-US" w:eastAsia="zh-CN"/>
              </w:rPr>
              <w:t xml:space="preserve">按要求</w:t>
            </w:r>
            <w:r>
              <w:rPr>
                <w:rFonts w:hint="eastAsia" w:ascii="宋体" w:hAnsi="宋体" w:eastAsia="宋体" w:cs="宋体"/>
                <w:color w:val="auto"/>
                <w:sz w:val="24"/>
                <w:szCs w:val="24"/>
                <w:highlight w:val="none"/>
                <w:lang w:eastAsia="zh-CN"/>
              </w:rPr>
              <w:t xml:space="preserve">提供证明材料，否则视为负偏离扣分。</w:t>
            </w:r>
            <w:r/>
          </w:p>
          <w:p>
            <w:pPr>
              <w:numPr>
                <w:ilvl w:val="0"/>
                <w:numId w:val="0"/>
              </w:num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970</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lang w:val="en-US" w:eastAsia="zh-CN"/>
              </w:rPr>
              <w:t xml:space="preserve">38.8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参数要求，每有一项不满足的扣</w:t>
            </w:r>
            <w:r>
              <w:rPr>
                <w:rFonts w:hint="eastAsia" w:ascii="宋体" w:hAnsi="宋体" w:cs="宋体"/>
                <w:color w:val="auto"/>
                <w:sz w:val="24"/>
                <w:szCs w:val="24"/>
                <w:highlight w:val="none"/>
                <w:u w:val="single"/>
                <w:lang w:val="en-US" w:eastAsia="zh-CN"/>
              </w:rPr>
              <w:t xml:space="preserve">0.04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《技术响应偏离表》中列出响应及偏离情况</w:t>
            </w:r>
            <w:r>
              <w:rPr>
                <w:rFonts w:hint="eastAsia" w:ascii="宋体" w:hAnsi="宋体" w:eastAsia="宋体" w:cs="宋体"/>
                <w:color w:val="auto"/>
                <w:sz w:val="24"/>
                <w:szCs w:val="24"/>
                <w:highlight w:val="none"/>
                <w:lang w:eastAsia="zh-CN"/>
              </w:rPr>
              <w:t xml:space="preserve">为准，</w:t>
            </w:r>
            <w:r>
              <w:rPr>
                <w:rFonts w:hint="eastAsia" w:ascii="宋体" w:hAnsi="宋体" w:eastAsia="宋体" w:cs="宋体"/>
                <w:color w:val="auto"/>
                <w:sz w:val="24"/>
                <w:szCs w:val="24"/>
                <w:highlight w:val="none"/>
              </w:rPr>
              <w:t xml:space="preserve">未对应</w:t>
            </w:r>
            <w:r>
              <w:rPr>
                <w:rFonts w:hint="eastAsia" w:ascii="宋体" w:hAnsi="宋体" w:eastAsia="宋体" w:cs="宋体"/>
                <w:color w:val="auto"/>
                <w:sz w:val="24"/>
                <w:szCs w:val="24"/>
                <w:highlight w:val="none"/>
                <w:lang w:val="en-US" w:eastAsia="zh-CN"/>
              </w:rPr>
              <w:t xml:space="preserve">列出</w:t>
            </w:r>
            <w:r>
              <w:rPr>
                <w:rFonts w:hint="eastAsia" w:ascii="宋体" w:hAnsi="宋体" w:eastAsia="宋体" w:cs="宋体"/>
                <w:color w:val="auto"/>
                <w:sz w:val="24"/>
                <w:szCs w:val="24"/>
                <w:highlight w:val="none"/>
              </w:rPr>
              <w:t xml:space="preserve">按负偏离进行扣分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有要求提供佐证资料的按照要求提供，无要求的以</w:t>
            </w:r>
            <w:r>
              <w:rPr>
                <w:rFonts w:hint="eastAsia" w:ascii="宋体" w:hAnsi="宋体" w:eastAsia="宋体" w:cs="宋体"/>
                <w:color w:val="auto"/>
                <w:sz w:val="24"/>
                <w:szCs w:val="24"/>
                <w:highlight w:val="none"/>
              </w:rPr>
              <w:t xml:space="preserve">《技术响应偏离表》</w:t>
            </w:r>
            <w:r>
              <w:rPr>
                <w:rFonts w:hint="eastAsia" w:ascii="宋体" w:hAnsi="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lang w:eastAsia="zh-CN"/>
              </w:rPr>
              <w:t xml:space="preserve">。</w:t>
            </w:r>
            <w:r/>
          </w:p>
        </w:tc>
      </w:tr>
      <w:tr>
        <w:trPr>
          <w:trHeight w:val="23"/>
        </w:trPr>
        <w:tc>
          <w:tcPr>
            <w:shd w:val="clear" w:color="auto" w:fill="auto"/>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rPr>
                <w:rFonts w:hint="eastAsia" w:ascii="宋体" w:hAnsi="宋体" w:cs="宋体"/>
                <w:color w:val="auto"/>
                <w:sz w:val="24"/>
                <w:szCs w:val="24"/>
                <w:highlight w:val="none"/>
                <w:lang w:eastAsia="zh-CN"/>
              </w:rPr>
              <w:t xml:space="preserve">经营</w:t>
            </w:r>
            <w:r>
              <w:rPr>
                <w:rFonts w:hint="eastAsia" w:ascii="宋体" w:hAnsi="宋体" w:eastAsia="宋体" w:cs="宋体"/>
                <w:color w:val="auto"/>
                <w:sz w:val="24"/>
                <w:szCs w:val="24"/>
                <w:highlight w:val="none"/>
              </w:rPr>
              <w:t xml:space="preserve">业绩、信誉</w:t>
            </w:r>
            <w:r/>
          </w:p>
        </w:tc>
        <w:tc>
          <w:tcPr>
            <w:shd w:val="clear" w:color="auto" w:fill="auto"/>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企业业绩</w:t>
            </w:r>
            <w:r/>
          </w:p>
        </w:tc>
        <w:tc>
          <w:tcPr>
            <w:shd w:val="clear" w:color="auto" w:fill="auto"/>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.00分</w:t>
            </w:r>
            <w:r/>
          </w:p>
        </w:tc>
        <w:tc>
          <w:tcPr>
            <w:shd w:val="clear" w:color="auto" w:fill="auto"/>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bookmarkStart w:id="112" w:name="OLE_LINK33"/>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日以来（以合同签订时间为准）承接过类似业绩的，每提供一个得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投标人需提供业绩证明材料至投标文件，证明材料</w:t>
            </w:r>
            <w:r>
              <w:rPr>
                <w:rFonts w:hint="eastAsia" w:ascii="宋体" w:hAnsi="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rPr>
              <w:t xml:space="preserve">扫描件需包含中标（或成交）通知书、合同（或者合同协议书）、采购人履约评价（或者验收合格报告或者验收合格证明），三者缺一不可，未提供或提供不全或模糊不清无法辨认均不予计分。</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合同甲方履约评价中出现“不满意”或“差”或“不合格”或同等意思表达的，该业绩不得分。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（3）投标人提供的企业业绩将随中标结果公告同步公开。</w:t>
            </w:r>
            <w:bookmarkEnd w:id="112"/>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tc>
      </w:tr>
      <w:tr>
        <w:trPr>
          <w:trHeight w:val="5061"/>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3" w:name="OLE_LINK34"/>
            <w:r>
              <w:rPr>
                <w:rFonts w:hint="eastAsia" w:ascii="宋体" w:hAnsi="宋体" w:eastAsia="宋体" w:cs="宋体"/>
                <w:color w:val="auto"/>
                <w:sz w:val="24"/>
                <w:szCs w:val="24"/>
                <w:highlight w:val="none"/>
              </w:rPr>
              <w:t xml:space="preserve">环境标志、节能产品</w:t>
            </w:r>
            <w:bookmarkEnd w:id="113"/>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bookmarkStart w:id="114" w:name="OLE_LINK35"/>
            <w:r>
              <w:rPr>
                <w:rFonts w:hint="eastAsia" w:ascii="宋体" w:hAnsi="宋体" w:eastAsia="宋体" w:cs="宋体"/>
                <w:color w:val="auto"/>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bookmarkEnd w:id="114"/>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中标人提供的节能环保</w:t>
            </w:r>
            <w:r>
              <w:rPr>
                <w:rFonts w:hint="eastAsia" w:ascii="宋体" w:hAnsi="宋体" w:eastAsia="宋体" w:cs="宋体"/>
                <w:b/>
                <w:bCs/>
                <w:color w:val="auto"/>
                <w:sz w:val="24"/>
                <w:szCs w:val="24"/>
                <w:highlight w:val="none"/>
                <w:lang w:val="en-US" w:eastAsia="zh-CN"/>
              </w:rPr>
              <w:t xml:space="preserve">证书</w:t>
            </w:r>
            <w:r>
              <w:rPr>
                <w:rFonts w:hint="eastAsia" w:ascii="宋体" w:hAnsi="宋体" w:eastAsia="宋体" w:cs="宋体"/>
                <w:b/>
                <w:bCs/>
                <w:color w:val="auto"/>
                <w:sz w:val="24"/>
                <w:szCs w:val="24"/>
                <w:highlight w:val="none"/>
              </w:rPr>
              <w:t xml:space="preserve">将随中标结果同步公开。</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.00分</w:t>
            </w:r>
            <w:r/>
          </w:p>
        </w:tc>
        <w:tc>
          <w:tcPr>
            <w:tcW w:w="5439" w:type="dxa"/>
            <w:vAlign w:val="center"/>
            <w:textDirection w:val="lrTb"/>
            <w:noWrap w:val="false"/>
          </w:tcPr>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项目负责人具有高级工程师（电子信息）证书</w:t>
            </w:r>
            <w:r>
              <w:rPr>
                <w:rFonts w:hint="eastAsia" w:ascii="宋体" w:hAnsi="宋体" w:cs="宋体"/>
                <w:color w:val="auto"/>
                <w:sz w:val="24"/>
                <w:szCs w:val="24"/>
                <w:highlight w:val="none"/>
                <w:lang w:val="en-US" w:eastAsia="zh-CN"/>
              </w:rPr>
              <w:t xml:space="preserve">或信息系统项目管理师证书</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2、项目组成员具有网络工程师或信息系统项目管理师</w:t>
            </w:r>
            <w:r>
              <w:rPr>
                <w:rFonts w:hint="eastAsia" w:ascii="宋体" w:hAnsi="宋体" w:cs="宋体"/>
                <w:color w:val="auto"/>
                <w:sz w:val="24"/>
                <w:szCs w:val="24"/>
                <w:highlight w:val="none"/>
                <w:lang w:val="en-US" w:eastAsia="zh-CN"/>
              </w:rPr>
              <w:t xml:space="preserve">或机电类二级建造师</w:t>
            </w:r>
            <w:r>
              <w:rPr>
                <w:rFonts w:hint="eastAsia" w:ascii="宋体" w:hAnsi="宋体" w:eastAsia="宋体" w:cs="宋体"/>
                <w:color w:val="auto"/>
                <w:sz w:val="24"/>
                <w:szCs w:val="24"/>
                <w:highlight w:val="none"/>
                <w:lang w:val="en-US" w:eastAsia="zh-CN"/>
              </w:rPr>
              <w:t xml:space="preserve">，每有1个得0.5分，最高得1分。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注：（1）上述项目组成员必须为本单位员工，需提供投标人为其缴纳的</w:t>
            </w:r>
            <w:r>
              <w:rPr>
                <w:rFonts w:hint="eastAsia" w:ascii="宋体" w:hAnsi="宋体" w:eastAsia="宋体" w:cs="宋体"/>
                <w:color w:val="auto"/>
                <w:sz w:val="24"/>
                <w:szCs w:val="24"/>
                <w:highlight w:val="none"/>
                <w:lang w:val="en-US" w:eastAsia="zh-CN"/>
              </w:rPr>
              <w:t xml:space="preserve">近六个月以来</w:t>
            </w:r>
            <w:r>
              <w:rPr>
                <w:rFonts w:hint="eastAsia" w:ascii="宋体" w:hAnsi="宋体" w:eastAsia="宋体" w:cs="宋体"/>
                <w:color w:val="auto"/>
                <w:sz w:val="24"/>
                <w:szCs w:val="24"/>
                <w:highlight w:val="none"/>
              </w:rPr>
              <w:t xml:space="preserve">的社保证明材料</w:t>
            </w:r>
            <w:r>
              <w:rPr>
                <w:rFonts w:hint="eastAsia" w:ascii="宋体" w:hAnsi="宋体" w:cs="宋体"/>
                <w:color w:val="auto"/>
                <w:sz w:val="24"/>
                <w:szCs w:val="24"/>
                <w:highlight w:val="none"/>
                <w:lang w:val="en-US" w:eastAsia="zh-CN"/>
              </w:rPr>
              <w:t xml:space="preserve">和身份证电子</w:t>
            </w:r>
            <w:r>
              <w:rPr>
                <w:rFonts w:hint="eastAsia" w:ascii="宋体" w:hAnsi="宋体" w:eastAsia="宋体" w:cs="宋体"/>
                <w:color w:val="auto"/>
                <w:sz w:val="24"/>
                <w:szCs w:val="24"/>
                <w:highlight w:val="none"/>
              </w:rPr>
              <w:t xml:space="preserve">扫描件，否则不得分；</w:t>
            </w:r>
            <w:r/>
          </w:p>
          <w:p>
            <w:pPr>
              <w:numPr>
                <w:ilvl w:val="0"/>
                <w:numId w:val="0"/>
              </w:numPr>
              <w:ind w:left="0" w:right="0"/>
              <w:jc w:val="left"/>
              <w:spacing w:beforeAutospacing="0" w:afterAutospacing="0" w:line="440" w:lineRule="exact"/>
              <w:shd w:val="clear" w:color="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p>
            <w:pPr>
              <w:numPr>
                <w:ilvl w:val="0"/>
                <w:numId w:val="0"/>
              </w:numPr>
              <w:ind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中标后</w:t>
            </w:r>
            <w:r>
              <w:rPr>
                <w:rFonts w:hint="eastAsia" w:ascii="宋体" w:hAnsi="宋体" w:eastAsia="宋体" w:cs="宋体"/>
                <w:color w:val="auto"/>
                <w:sz w:val="24"/>
                <w:szCs w:val="24"/>
                <w:highlight w:val="none"/>
              </w:rPr>
              <w:t xml:space="preserve">提供上述项目组成员相关证书原件备查，服务过程中，人员不得更改。</w:t>
            </w:r>
            <w:r/>
          </w:p>
        </w:tc>
      </w:tr>
      <w:tr>
        <w:trPr>
          <w:trHeight w:val="23"/>
        </w:trPr>
        <w:tc>
          <w:tcPr>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质量保障方案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、项目实施要求（一）</w:t>
            </w:r>
            <w:r>
              <w:rPr>
                <w:rFonts w:hint="eastAsia" w:ascii="宋体" w:hAnsi="宋体" w:eastAsia="宋体" w:cs="宋体"/>
                <w:color w:val="auto"/>
                <w:sz w:val="24"/>
                <w:szCs w:val="24"/>
                <w:highlight w:val="none"/>
                <w:lang w:val="en-US" w:eastAsia="zh-CN"/>
              </w:rPr>
              <w:t xml:space="preserve">质量保障要求</w:t>
            </w: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，评标委员会根据投标人提供的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进行评审：概述详细，方案考虑周全、切实可行，优于采购需求得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5" w:name="OLE_LINK44"/>
            <w:r>
              <w:rPr>
                <w:rFonts w:hint="eastAsia" w:ascii="宋体" w:hAnsi="宋体" w:eastAsia="宋体" w:cs="宋体"/>
                <w:color w:val="auto"/>
                <w:sz w:val="24"/>
                <w:szCs w:val="24"/>
                <w:highlight w:val="none"/>
              </w:rPr>
              <w:t xml:space="preserve">培训及技术支持方案</w:t>
            </w:r>
            <w:bookmarkEnd w:id="115"/>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投标人根据招标文件“第四章、采购需求—五、项目实施要求—（</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）培训及技术支持要求”制定培训及技术支持方案，评标委员会根据投标人提供的培训及技术支持方案进行评审：概述详细，方案考虑周全、切实可行，优于采购需求得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6" w:name="OLE_LINK47"/>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bookmarkEnd w:id="116"/>
            <w:r/>
            <w:r/>
          </w:p>
        </w:tc>
      </w:tr>
    </w:tbl>
    <w:p>
      <w:pPr>
        <w:pStyle w:val="861"/>
        <w:ind w:left="0" w:right="0" w:firstLine="482"/>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7" w:name="_Toc81575205"/>
      <w:r/>
      <w:bookmarkEnd w:id="117"/>
      <w:r/>
      <w:r/>
    </w:p>
    <w:p>
      <w:pPr>
        <w:pStyle w:val="861"/>
        <w:ind w:left="0" w:right="0" w:firstLine="482"/>
        <w:jc w:val="both"/>
        <w:keepLines w:val="0"/>
        <w:keepNext w:val="0"/>
        <w:spacing w:before="0" w:beforeAutospacing="0" w:after="0" w:afterAutospacing="0" w:line="440" w:lineRule="exact"/>
        <w:widowControl w:val="off"/>
        <w:rPr>
          <w:rFonts w:hint="eastAsia" w:ascii="宋体" w:hAnsi="宋体" w:cs="宋体"/>
          <w:b/>
          <w:bCs/>
          <w:color w:val="auto"/>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auto"/>
          <w:sz w:val="24"/>
          <w:szCs w:val="24"/>
          <w:highlight w:val="none"/>
          <w:shd w:val="clear" w:color="auto" w:fill="ffffff"/>
          <w:lang w:val="en-US" w:eastAsia="zh-CN"/>
        </w:rPr>
        <w:t xml:space="preserve">采购包2：</w:t>
      </w:r>
      <w:r/>
    </w:p>
    <w:tbl>
      <w:tblPr>
        <w:tblStyle w:val="677"/>
        <w:tblW w:w="8950"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3"/>
        <w:gridCol w:w="1325"/>
        <w:gridCol w:w="1223"/>
        <w:gridCol w:w="5439"/>
      </w:tblGrid>
      <w:tr>
        <w:trPr>
          <w:trHeight w:val="510"/>
        </w:trPr>
        <w:tc>
          <w:tcPr>
            <w:gridSpan w:val="2"/>
            <w:tcW w:w="2288"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1223"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5439"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即满足招标文件要求且投标价格最低的投标报价为评标基准价，其价格为满分30分，其他投标人的价格分别按照下列公式计算：投标报价得分=（评标基准价/投标报价）×30，小数点保留2位。</w:t>
            </w:r>
            <w:r/>
          </w:p>
        </w:tc>
      </w:tr>
      <w:tr>
        <w:trPr>
          <w:trHeight w:val="23"/>
        </w:trPr>
        <w:tc>
          <w:tcPr>
            <w:tcW w:w="963"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p>
        </w:tc>
        <w:tc>
          <w:tcPr>
            <w:tcW w:w="1223" w:type="dxa"/>
            <w:vAlign w:val="center"/>
            <w:textDirection w:val="lrTb"/>
            <w:noWrap w:val="false"/>
          </w:tcPr>
          <w:p>
            <w:pPr>
              <w:ind w:left="0" w:right="0" w:firstLine="480"/>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针对招标文件“第四部分、采购需求”中的“三、采购清单及技术参数要求”所列内容进行评分，所投产品技术参数完全满足或优于招标文件技术参数要求的得</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w:t>
            </w:r>
            <w:r/>
          </w:p>
          <w:p>
            <w:pPr>
              <w:numPr>
                <w:ilvl w:val="0"/>
                <w:numId w:val="0"/>
              </w:num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6.32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为重点参数要求，每有一项不满足的扣</w:t>
            </w:r>
            <w:r>
              <w:rPr>
                <w:rFonts w:hint="eastAsia" w:ascii="宋体" w:hAnsi="宋体" w:cs="宋体"/>
                <w:color w:val="auto"/>
                <w:sz w:val="24"/>
                <w:szCs w:val="24"/>
                <w:highlight w:val="none"/>
                <w:u w:val="single"/>
                <w:lang w:val="en-US" w:eastAsia="zh-CN"/>
              </w:rPr>
              <w:t xml:space="preserve">0.316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按照要求</w:t>
            </w:r>
            <w:r>
              <w:rPr>
                <w:rFonts w:hint="eastAsia" w:ascii="宋体" w:hAnsi="宋体" w:eastAsia="宋体" w:cs="宋体"/>
                <w:color w:val="auto"/>
                <w:sz w:val="24"/>
                <w:szCs w:val="24"/>
                <w:highlight w:val="none"/>
              </w:rPr>
              <w:t xml:space="preserve">在投标文件《技术响应偏离表》中逐条列出响应及偏离情况</w:t>
            </w:r>
            <w:r>
              <w:rPr>
                <w:rFonts w:hint="eastAsia" w:ascii="宋体" w:hAnsi="宋体" w:eastAsia="宋体" w:cs="宋体"/>
                <w:color w:val="auto"/>
                <w:sz w:val="24"/>
                <w:szCs w:val="24"/>
                <w:highlight w:val="none"/>
                <w:lang w:val="en-US" w:eastAsia="zh-CN"/>
              </w:rPr>
              <w:t xml:space="preserve">并</w:t>
            </w:r>
            <w:r>
              <w:rPr>
                <w:rFonts w:hint="eastAsia" w:ascii="宋体" w:hAnsi="宋体" w:cs="宋体"/>
                <w:color w:val="auto"/>
                <w:sz w:val="24"/>
                <w:szCs w:val="24"/>
                <w:highlight w:val="none"/>
                <w:lang w:val="en-US" w:eastAsia="zh-CN"/>
              </w:rPr>
              <w:t xml:space="preserve">按要求</w:t>
            </w:r>
            <w:r>
              <w:rPr>
                <w:rFonts w:hint="eastAsia" w:ascii="宋体" w:hAnsi="宋体" w:eastAsia="宋体" w:cs="宋体"/>
                <w:color w:val="auto"/>
                <w:sz w:val="24"/>
                <w:szCs w:val="24"/>
                <w:highlight w:val="none"/>
                <w:lang w:eastAsia="zh-CN"/>
              </w:rPr>
              <w:t xml:space="preserve">提供证明材料，否则视为负偏离扣分。</w:t>
            </w:r>
            <w:r/>
          </w:p>
          <w:p>
            <w:pPr>
              <w:numPr>
                <w:ilvl w:val="0"/>
                <w:numId w:val="0"/>
              </w:num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3640</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43.68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参数要求，每有一项不满足的扣</w:t>
            </w:r>
            <w:r>
              <w:rPr>
                <w:rFonts w:hint="eastAsia" w:ascii="宋体" w:hAnsi="宋体" w:cs="宋体"/>
                <w:color w:val="auto"/>
                <w:sz w:val="24"/>
                <w:szCs w:val="24"/>
                <w:highlight w:val="none"/>
                <w:u w:val="single"/>
                <w:lang w:val="en-US" w:eastAsia="zh-CN"/>
              </w:rPr>
              <w:t xml:space="preserve">0.012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其他参数以《技术响应偏离表》中列出响应及偏离情况为准，未对应列出按负偏离进行扣分，有要求提供佐证资料的按照要求提供，无要求的以《技术响应偏离表》为准。</w:t>
            </w:r>
            <w:r/>
          </w:p>
        </w:tc>
      </w:tr>
      <w:tr>
        <w:trPr>
          <w:trHeight w:val="23"/>
        </w:trPr>
        <w:tc>
          <w:tcPr>
            <w:shd w:val="clear" w:color="auto" w:fill="auto"/>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rPr>
                <w:rFonts w:hint="eastAsia" w:ascii="宋体" w:hAnsi="宋体" w:cs="宋体"/>
                <w:color w:val="auto"/>
                <w:sz w:val="24"/>
                <w:szCs w:val="24"/>
                <w:highlight w:val="none"/>
                <w:lang w:eastAsia="zh-CN"/>
              </w:rPr>
              <w:t xml:space="preserve">经营</w:t>
            </w:r>
            <w:r>
              <w:rPr>
                <w:rFonts w:hint="eastAsia" w:ascii="宋体" w:hAnsi="宋体" w:eastAsia="宋体" w:cs="宋体"/>
                <w:color w:val="auto"/>
                <w:sz w:val="24"/>
                <w:szCs w:val="24"/>
                <w:highlight w:val="none"/>
              </w:rPr>
              <w:t xml:space="preserve">业绩、信誉</w:t>
            </w:r>
            <w:r/>
          </w:p>
        </w:tc>
        <w:tc>
          <w:tcPr>
            <w:shd w:val="clear" w:color="auto" w:fill="auto"/>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企业业绩</w:t>
            </w:r>
            <w:r/>
          </w:p>
        </w:tc>
        <w:tc>
          <w:tcPr>
            <w:shd w:val="clear" w:color="auto" w:fill="auto"/>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.00分</w:t>
            </w:r>
            <w:r/>
          </w:p>
        </w:tc>
        <w:tc>
          <w:tcPr>
            <w:shd w:val="clear" w:color="auto" w:fill="auto"/>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日以来（以合同签订时间为准）承接过类似业绩的，每提供一个得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投标人需提供业绩证明材料至投标文件，证明材料</w:t>
            </w:r>
            <w:r>
              <w:rPr>
                <w:rFonts w:hint="eastAsia" w:ascii="宋体" w:hAnsi="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rPr>
              <w:t xml:space="preserve">扫描件需包含中标（或成交）通知书、合同（或者合同协议书）、采购人履约评价（或者验收合格报告或者验收合格证明），三者缺一不可，未提供或提供不全或模糊不清无法辨认均不予计分。</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合同甲方履约评价中出现“不满意”或“差”或“不合格”或同等意思表达的，该业绩不得分。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（3）投标人提供的企业业绩将随中标结果公告同步公开。</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tc>
      </w:tr>
      <w:tr>
        <w:trPr>
          <w:trHeight w:val="5061"/>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环境标志、节能产品</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中标人提供的节能环保</w:t>
            </w:r>
            <w:r>
              <w:rPr>
                <w:rFonts w:hint="eastAsia" w:ascii="宋体" w:hAnsi="宋体" w:eastAsia="宋体" w:cs="宋体"/>
                <w:b/>
                <w:bCs/>
                <w:color w:val="auto"/>
                <w:sz w:val="24"/>
                <w:szCs w:val="24"/>
                <w:highlight w:val="none"/>
                <w:lang w:val="en-US" w:eastAsia="zh-CN"/>
              </w:rPr>
              <w:t xml:space="preserve">证书</w:t>
            </w:r>
            <w:r>
              <w:rPr>
                <w:rFonts w:hint="eastAsia" w:ascii="宋体" w:hAnsi="宋体" w:eastAsia="宋体" w:cs="宋体"/>
                <w:b/>
                <w:bCs/>
                <w:color w:val="auto"/>
                <w:sz w:val="24"/>
                <w:szCs w:val="24"/>
                <w:highlight w:val="none"/>
              </w:rPr>
              <w:t xml:space="preserve">将随中标结果同步公开。</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1、项目负责人具有高级工程师（电子信息）证书或信息系统项目管理师证书，得1分。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2、项目组成员具有网络工程师或信息系统项目管理师或机电类二级建造师，每有1个得0.5分，最高得1分。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注：（1）上述项目组成员必须为本单位员工，需提供投标人为其缴纳的</w:t>
            </w:r>
            <w:r>
              <w:rPr>
                <w:rFonts w:hint="eastAsia" w:ascii="宋体" w:hAnsi="宋体" w:eastAsia="宋体" w:cs="宋体"/>
                <w:color w:val="auto"/>
                <w:sz w:val="24"/>
                <w:szCs w:val="24"/>
                <w:highlight w:val="none"/>
                <w:lang w:val="en-US" w:eastAsia="zh-CN"/>
              </w:rPr>
              <w:t xml:space="preserve">近六个月以来</w:t>
            </w:r>
            <w:r>
              <w:rPr>
                <w:rFonts w:hint="eastAsia" w:ascii="宋体" w:hAnsi="宋体" w:eastAsia="宋体" w:cs="宋体"/>
                <w:color w:val="auto"/>
                <w:sz w:val="24"/>
                <w:szCs w:val="24"/>
                <w:highlight w:val="none"/>
              </w:rPr>
              <w:t xml:space="preserve">的社保证明材料</w:t>
            </w:r>
            <w:r>
              <w:rPr>
                <w:rFonts w:hint="eastAsia" w:ascii="宋体" w:hAnsi="宋体" w:cs="宋体"/>
                <w:color w:val="auto"/>
                <w:sz w:val="24"/>
                <w:szCs w:val="24"/>
                <w:highlight w:val="none"/>
                <w:lang w:val="en-US" w:eastAsia="zh-CN"/>
              </w:rPr>
              <w:t xml:space="preserve">和身份证电子</w:t>
            </w:r>
            <w:r>
              <w:rPr>
                <w:rFonts w:hint="eastAsia" w:ascii="宋体" w:hAnsi="宋体" w:eastAsia="宋体" w:cs="宋体"/>
                <w:color w:val="auto"/>
                <w:sz w:val="24"/>
                <w:szCs w:val="24"/>
                <w:highlight w:val="none"/>
              </w:rPr>
              <w:t xml:space="preserve">扫描件，否则不得分；</w:t>
            </w:r>
            <w:r/>
          </w:p>
          <w:p>
            <w:pPr>
              <w:numPr>
                <w:ilvl w:val="0"/>
                <w:numId w:val="0"/>
              </w:numPr>
              <w:ind w:left="0" w:right="0"/>
              <w:jc w:val="left"/>
              <w:spacing w:beforeAutospacing="0" w:afterAutospacing="0" w:line="440" w:lineRule="exact"/>
              <w:shd w:val="clear" w:color="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p>
            <w:pPr>
              <w:numPr>
                <w:ilvl w:val="0"/>
                <w:numId w:val="0"/>
              </w:numPr>
              <w:ind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中标后</w:t>
            </w:r>
            <w:r>
              <w:rPr>
                <w:rFonts w:hint="eastAsia" w:ascii="宋体" w:hAnsi="宋体" w:eastAsia="宋体" w:cs="宋体"/>
                <w:color w:val="auto"/>
                <w:sz w:val="24"/>
                <w:szCs w:val="24"/>
                <w:highlight w:val="none"/>
              </w:rPr>
              <w:t xml:space="preserve">提供上述项目组成员相关证书原件备查，服务过程中，人员不得更改。</w:t>
            </w:r>
            <w:r/>
          </w:p>
        </w:tc>
      </w:tr>
      <w:tr>
        <w:trPr>
          <w:trHeight w:val="23"/>
        </w:trPr>
        <w:tc>
          <w:tcPr>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质量保障方案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、项目实施要求（一）</w:t>
            </w:r>
            <w:r>
              <w:rPr>
                <w:rFonts w:hint="eastAsia" w:ascii="宋体" w:hAnsi="宋体" w:eastAsia="宋体" w:cs="宋体"/>
                <w:color w:val="auto"/>
                <w:sz w:val="24"/>
                <w:szCs w:val="24"/>
                <w:highlight w:val="none"/>
                <w:lang w:val="en-US" w:eastAsia="zh-CN"/>
              </w:rPr>
              <w:t xml:space="preserve">质量保障要求</w:t>
            </w: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，评标委员会根据投标人提供的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进行评审：概述详细，方案考虑周全、切实可行，优于采购需求得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培训及技术支持方案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投标人根据招标文件“第四章、采购需求—五、项目实施要求—（</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）培训及技术支持要求”制定培训及技术支持方案，评标委员会根据投标人提供的培训及技术支持方案进行评审：概述详细，方案考虑周全、切实可行，优于采购需求得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bl>
    <w:p>
      <w:pPr>
        <w:pStyle w:val="861"/>
        <w:ind w:left="0" w:right="0" w:firstLine="482"/>
        <w:jc w:val="both"/>
        <w:keepLines w:val="0"/>
        <w:keepNext w:val="0"/>
        <w:spacing w:before="0" w:beforeAutospacing="0" w:after="0" w:afterAutospacing="0" w:line="440" w:lineRule="exact"/>
        <w:widowControl w:val="off"/>
        <w:rPr>
          <w:rFonts w:hint="default" w:ascii="宋体" w:hAnsi="宋体" w:cs="宋体"/>
          <w:b/>
          <w:bCs/>
          <w:color w:val="auto"/>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cs="宋体"/>
          <w:b/>
          <w:bCs/>
          <w:color w:val="auto"/>
          <w:sz w:val="24"/>
          <w:szCs w:val="24"/>
          <w:highlight w:val="none"/>
          <w:shd w:val="clear" w:color="auto" w:fill="ffffff"/>
          <w:lang w:val="en-US" w:eastAsia="zh-CN"/>
        </w:rPr>
      </w:r>
      <w:r/>
    </w:p>
    <w:p>
      <w:pPr>
        <w:pStyle w:val="861"/>
        <w:ind w:left="0" w:right="0" w:firstLine="482"/>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shd w:val="clear" w:color="auto" w:fill="ffffff"/>
        </w:rPr>
        <w:t xml:space="preserve">（三）评标结果。</w:t>
      </w:r>
      <w:r>
        <w:rPr>
          <w:rFonts w:hint="eastAsia" w:ascii="宋体" w:hAnsi="宋体" w:eastAsia="宋体" w:cs="宋体"/>
          <w:color w:val="auto"/>
          <w:sz w:val="24"/>
          <w:szCs w:val="24"/>
          <w:highlight w:val="none"/>
          <w:shd w:val="clear" w:color="auto" w:fill="ffffff"/>
        </w:rPr>
        <w:t xml:space="preserve">评标委员会按照本办法规定推荐中标候选人，并形成评标报告。</w:t>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18" w:name="_Toc9629"/>
      <w:r/>
      <w:bookmarkStart w:id="119" w:name="EB7816f6fdbc96408ea7b735c177a21493"/>
      <w:r/>
      <w:r/>
    </w:p>
    <w:p>
      <w:pPr>
        <w:pStyle w:val="861"/>
        <w:ind w:left="0" w:right="0"/>
        <w:jc w:val="both"/>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861"/>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第四部分  采购需求</w:t>
      </w:r>
      <w:bookmarkEnd w:id="118"/>
      <w:r/>
      <w:bookmarkEnd w:id="119"/>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项目属性：货物类项目</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p>
    <w:p>
      <w:pPr>
        <w:ind w:left="0" w:right="0"/>
        <w:spacing w:beforeAutospacing="0" w:afterAutospacing="0" w:line="440" w:lineRule="exact"/>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u w:val="none"/>
        </w:rPr>
        <w:t xml:space="preserve"> 工业</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制造业</w:t>
      </w:r>
      <w:r>
        <w:rPr>
          <w:rFonts w:hint="eastAsia" w:ascii="宋体" w:hAnsi="宋体" w:cs="宋体"/>
          <w:color w:val="auto"/>
          <w:sz w:val="24"/>
          <w:szCs w:val="24"/>
          <w:highlight w:val="none"/>
          <w:u w:val="none"/>
          <w:lang w:eastAsia="zh-CN"/>
        </w:rPr>
        <w:t xml:space="preserve">）</w:t>
      </w:r>
      <w:r/>
    </w:p>
    <w:p>
      <w:pPr>
        <w:ind w:left="0" w:right="0"/>
        <w:spacing w:beforeAutospacing="0" w:afterAutospacing="0" w:line="440" w:lineRule="exact"/>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采购包2： </w:t>
      </w:r>
      <w:r>
        <w:rPr>
          <w:rFonts w:hint="eastAsia" w:ascii="宋体" w:hAnsi="宋体" w:eastAsia="宋体" w:cs="宋体"/>
          <w:color w:val="auto"/>
          <w:sz w:val="24"/>
          <w:szCs w:val="24"/>
          <w:highlight w:val="none"/>
          <w:u w:val="none"/>
        </w:rPr>
        <w:t xml:space="preserve">工业</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制造业</w:t>
      </w:r>
      <w:r>
        <w:rPr>
          <w:rFonts w:hint="eastAsia" w:ascii="宋体" w:hAnsi="宋体" w:cs="宋体"/>
          <w:color w:val="auto"/>
          <w:sz w:val="24"/>
          <w:szCs w:val="24"/>
          <w:highlight w:val="none"/>
          <w:u w:val="none"/>
          <w:lang w:eastAsia="zh-CN"/>
        </w:rPr>
        <w:t xml:space="preserve">）</w:t>
      </w:r>
      <w:r/>
    </w:p>
    <w:p>
      <w:pPr>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本项目不接受进口产品</w:t>
      </w:r>
      <w:r>
        <w:rPr>
          <w:rFonts w:hint="eastAsia" w:ascii="宋体" w:hAnsi="宋体" w:eastAsia="宋体" w:cs="宋体"/>
          <w:color w:val="auto"/>
          <w:sz w:val="24"/>
          <w:szCs w:val="24"/>
          <w:highlight w:val="none"/>
          <w:lang w:eastAsia="zh-CN"/>
        </w:rPr>
        <w:t xml:space="preserve">。</w:t>
      </w:r>
      <w:r/>
    </w:p>
    <w:p>
      <w:pPr>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泗洪姜堰实验学校初中部功能室、实验室采购项目</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2、主要内容为：</w:t>
      </w:r>
      <w:r/>
    </w:p>
    <w:p>
      <w:pPr>
        <w:pStyle w:val="86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采购包1：理化生智能吊装实验室、数字化探究实验室、考评实验室等，详见采购需求和采购包1清单。</w:t>
      </w:r>
      <w:r/>
    </w:p>
    <w:p>
      <w:pPr>
        <w:pStyle w:val="86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采购包2：历史地理教室、劳技教室、舞蹈教室、书法教室、美术教室等，详见采购需求和采购包2清单。</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3、供货地点：采购人指定地点。</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4、供货期：采购合同签订后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日历天内全部供货安装完毕并交付使用。</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5、售后服务期：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如产品清单中有特殊要求的按清单执行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质量：合格，符合国家、行业质量要求。</w:t>
      </w:r>
      <w:r/>
    </w:p>
    <w:p>
      <w:pPr>
        <w:pStyle w:val="680"/>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二、付款方式</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采购合同签订后，收到</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发票10个工作日内预付合同价款的30%；设备全部安装调试完毕</w:t>
      </w:r>
      <w:r>
        <w:rPr>
          <w:rFonts w:hint="eastAsia" w:ascii="宋体" w:hAnsi="宋体" w:cs="宋体"/>
          <w:color w:val="auto"/>
          <w:sz w:val="24"/>
          <w:szCs w:val="24"/>
          <w:highlight w:val="none"/>
          <w:lang w:val="en-US" w:eastAsia="zh-CN"/>
        </w:rPr>
        <w:t xml:space="preserve">交付使用</w:t>
      </w:r>
      <w:r>
        <w:rPr>
          <w:rFonts w:hint="eastAsia" w:ascii="宋体" w:hAnsi="宋体" w:eastAsia="宋体" w:cs="宋体"/>
          <w:color w:val="auto"/>
          <w:sz w:val="24"/>
          <w:szCs w:val="24"/>
          <w:highlight w:val="none"/>
        </w:rPr>
        <w:t xml:space="preserve">后，采购人组织验收并出具验收报告，在收到</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发票后10个工作日内支付至合同总额的100%。</w:t>
      </w:r>
      <w:r/>
    </w:p>
    <w:p>
      <w:pPr>
        <w:pStyle w:val="885"/>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可以使用数字人民币支付。</w:t>
      </w:r>
      <w:r/>
    </w:p>
    <w:p>
      <w:pPr>
        <w:pStyle w:val="886"/>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注：在签订合同时，</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明确表示无需预付款或者主动要求降低预付款比例的，采购人可不适用预付规定。</w:t>
      </w:r>
      <w:r/>
    </w:p>
    <w:p>
      <w:pPr>
        <w:pStyle w:val="680"/>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采购清单及技术参数要求</w:t>
      </w:r>
      <w:r/>
    </w:p>
    <w:p>
      <w:pPr>
        <w:numPr>
          <w:ilvl w:val="0"/>
          <w:numId w:val="2"/>
        </w:num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采购清单及技术参数要求</w:t>
      </w:r>
      <w:r/>
    </w:p>
    <w:p>
      <w:pPr>
        <w:numPr>
          <w:ilvl w:val="0"/>
          <w:numId w:val="0"/>
        </w:numPr>
        <w:ind w:right="0"/>
        <w:jc w:val="both"/>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2"/>
        </w:numPr>
        <w:ind w:left="0" w:right="0"/>
        <w:keepLines w:val="0"/>
        <w:keepNext w:val="0"/>
        <w:pageBreakBefore w:val="0"/>
        <w:spacing w:beforeAutospacing="0" w:afterAutospacing="0" w:line="400" w:lineRule="exact"/>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r>
      <w:r/>
    </w:p>
    <w:tbl>
      <w:tblPr>
        <w:tblStyle w:val="677"/>
        <w:tblpPr w:horzAnchor="page" w:tblpX="1140" w:vertAnchor="text" w:tblpY="303" w:leftFromText="180" w:topFromText="0" w:rightFromText="180" w:bottomFromText="0"/>
        <w:tblW w:w="552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2"/>
        <w:gridCol w:w="4281"/>
        <w:gridCol w:w="1557"/>
        <w:gridCol w:w="1256"/>
        <w:gridCol w:w="1596"/>
      </w:tblGrid>
      <w:tr>
        <w:trPr>
          <w:trHeight w:val="11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泗洪姜堰实验学校初中部功能室、实验室采购项目采购包1</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采购清单明细表及技术参数要求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功能室科目名称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A-化学智能吊装实验室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一层2间；二层1间</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B-化学数字化探究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C-化学考评实验室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二层1间</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D-物理智能吊装实验室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三层2间；四层1间</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E-物理数字化探究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F-理化生虚拟仿真VR创新实验室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四层1间</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G-物理考评实验室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H-生物智能吊装实验室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I-生物数字化探究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J-生物考评实验室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K-智慧实验室校级管理平台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L-化学准备室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M-智能药品室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N-化学智能危化品室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O-物理准备室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P-生物器材准备室1</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Q-生物器材准备室2</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w:t>
            </w:r>
            <w:r/>
          </w:p>
        </w:tc>
      </w:tr>
    </w:tbl>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114"/>
        <w:gridCol w:w="6599"/>
        <w:gridCol w:w="705"/>
        <w:gridCol w:w="731"/>
      </w:tblGrid>
      <w:tr>
        <w:trPr>
          <w:trHeight w:val="285"/>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A-56座化学智能吊装实验室</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331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A1、实验室基础设备配置</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015"/>
        </w:trPr>
        <w:tc>
          <w:tcPr>
            <w:tcW w:w="408" w:type="pct"/>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Style w:val="916"/>
                <w:rFonts w:hint="eastAsia" w:ascii="宋体" w:hAnsi="宋体" w:eastAsia="宋体" w:cs="宋体"/>
                <w:color w:val="auto"/>
                <w:sz w:val="21"/>
                <w:szCs w:val="21"/>
                <w:lang w:val="en-US" w:eastAsia="zh-CN" w:bidi="ar"/>
              </w:rPr>
              <w:t xml:space="preserve">教师演示台</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#1、规格：≥L2400mm*W700mm*H850mm；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#2、台面：采用≥25mm厚金属树脂高能理化板，且满足如下参数要求：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（1）化学性能检测：依据GB/T 17657-2022《人造板及饰面人造板理化性能试验方法》标准，耐污染性能不少于128项试验污染物的检测，且包含：65%硝酸、98%硫酸、氢氧化钾、液溴、乙酸铵、液体石蜡、柠檬酸、红药水、双氧水、丙酮、四氢呋喃等试剂，覆盖玻璃盖板和未覆盖玻璃盖板检验结果均为5级：无明显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（2）物理性能检测：依据GB/T 17657-2022《人造板及饰面人造板理化性能试验方法》标准，符合：弹性模量≥9700MPa；含水率：≤0.9%；尺寸稳定性：横向≤0.11%、纵向≤0.08%；表面耐磨性能：≥1200r，未出现磨损点；表面耐湿热性能：五级无明显变化；浸渍剥离性能：贴面层与基材之间的胶层无剥离和分层现象；耐光色牢度性能:4级；漆膜附着力：六级:切割边缘完全平滑，网格内无脱落等不低于16项检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（3）环保性能检测：依据GB 18580-2017《室内装饰装修材料人造板及其制品中甲醛释放限量》标准，符合甲醛释放量&lt;0.005 mg/M3；同时参照GB 18584-2001《室内装饰装修材料木家具中有害物质限量》标准，符合4种重金属含量mg/kg（可溶性铅≤2.2、镉：≤0.1、铬≤0.2、汞：未检出）。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（4）防霉性能检测：依据JC/T2039-2010标准，符合：黑曲霉、土曲霉、球毛壳霉、宛氏拟青霉、绳状青霉、出芽短梗霉等不少于6种的霉菌检测，且防霉等级为0级。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（5）抗老化性检测：依据GB/T24508-2020标准：48小时无开裂、无鼓泡、无粉化。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#3、桌身：整体采用≥1.0mm厚优质冷轧钢板，全部钢制件纳米陶瓷镀膜防锈处理。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#4、结构：演示台设有储物柜，中间为演示台,设置电源主控系统、多媒体设</w:t>
            </w:r>
            <w:r>
              <w:rPr>
                <w:rFonts w:hint="eastAsia" w:ascii="宋体" w:hAnsi="宋体" w:eastAsia="宋体" w:cs="宋体"/>
                <w:i w:val="0"/>
                <w:iCs w:val="0"/>
                <w:color w:val="auto"/>
                <w:sz w:val="21"/>
                <w:szCs w:val="21"/>
                <w:u w:val="none"/>
                <w:lang w:val="en-US" w:eastAsia="zh-CN" w:bidi="ar"/>
              </w:rPr>
              <w:t xml:space="preserve">备（主机、显示器、中控、功放、交换机）的位置预留。含330*440mmPP水槽、下水管及三联水嘴。                                                                                                                                                                          #5、 柜门：门板加衬板双层结构，内含填充物，门板表面带ABS嵌入式拉手。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▲6、冷轧钢板技术要求满足GB/T4893.9 家具表面漆膜抗冲击测定标准测试：漆膜抗冲击测试中等级1的要求。</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#7、滑道：抽屉全部采用优质三节承重式滚珠滑道开合十万次不变形。</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8、三联水嘴：鹅颈式实验室专用优质化验水嘴：要求防酸碱、防锈、防虹吸、防阻塞，表面环氧树脂喷涂。开关阀芯为铜质陶瓷芯，高头，便于多用途使用，可拆卸清洗阻塞。出水嘴可拆卸，内有成型螺纹，可方便连接循环等特殊用水水管。</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#9、下水管：水槽专配型排水管，不锈钢卡扣连接，安装方便不渗漏。</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10、教师演示台技术要求满足：GB/T24820-2024实验室家具通用技术条件：操作台力学性能：水平静载荷试验：力600N,10次；垂直静载荷试验：主桌面：力2000N，10次；持续垂直静载荷：载荷1.25kg/dm²，24h；独立操作台水平冲击稳定性：质量50kg,跌落高度40mm；独立操作台垂直加载稳定性：750N；活动操作台跌落：跌落高度:150mm,10次；垂直冲击试验：跌落高度：300mm，10次。</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567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教师总控电源</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#1、采用密码开机管理；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#2、具有年月日，时分秒，定时自动关机功能；定时关机时间可以教师根据任务要求按需设定；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#3、采用耐用的数码管显示教师和学生交直流电压，电流；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#4、分4组向学生实验桌输出安全的220V交流电源，具备漏电及过载保护功能；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#5、教师可远程控制和锁定学生电源的低压交、直流电压。控制交流0V - 30V，分辨率为1V；直流0V - 30.0V，分辨率为0.1V。分4组控制；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#6、教师自用低压交流电源电压为0V-18V/3A、19V-30V/2A，分辨率为1V。具备自动过载保护功能；教师自用低压直流电源电压为0V-18.0V/2A、18.0V-30.0V/1.5A，分辨率为0.1V。具备自动过载保护功能；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#7、大电流短时输出。8秒内自动关断；电源的性能应符合《 JY/T 0374-2004 教学实验室设备电源系统 》中的相关要求；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#8、电源通过第三方检测机构检测：测量、控制和实验室用电气设备的安全要求 第1部分 通用要求标准测试：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▲9、电源需通过通用要求标准测试其中环境条件：室内使用，高度在 2000m 以下，温度在 5C～40C范围内，温度低于31C时最大相对湿度为80%；温度为40C时相对湿度线性降低 50%，一瞬态过压为设施类别(过压类别)，电源电压波动不应超过标称电压的±10%，检测结果：合格。</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10、电源需通过通用要求标准测试其中安全要求：1）电击危险：设备设计和构造以防止电击危险的要求，包括隔离、保护和接地；2）火灾危险：设计和构造以防止火灾危险的要求，包括电气和机械方面的防护。检测结果：合格。</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实验桌</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#1、规格：约L1200mm*W600mm*H780mm；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#2、台面：选用实验室专用 ≥20mm 厚黑色坯体工业陶瓷台面，耐高温、釉面和坯体结合后不脱落、不脱层，耐磨、耐强腐蚀，采用一体高温烧制成型，釉面颜色有黑色、蓝色、灰色可选。各项性能需满足或优于以下要求：              </w:t>
            </w:r>
            <w:r>
              <w:rPr>
                <w:rFonts w:hint="eastAsia" w:ascii="宋体" w:hAnsi="宋体" w:eastAsia="宋体" w:cs="宋体"/>
                <w:i w:val="0"/>
                <w:iCs w:val="0"/>
                <w:color w:val="auto"/>
                <w:sz w:val="21"/>
                <w:szCs w:val="21"/>
                <w:u w:val="none"/>
                <w:lang w:val="en-US" w:eastAsia="zh-CN" w:bidi="ar"/>
              </w:rPr>
              <w:t xml:space="preserve">                                                                                                                                           （1）按照GB/T 17657-2022标准对台面板进行不少于75种化学试剂检测，其中硫酸(98%)、尿素、碘酒、孔雀绿(5%)、氢氧化钾(65%)、硝酸(65%)、乙酸(99%)、甲醛溶液(37%)、硫化钠饱和液、乙醇(99%)、二</w:t>
            </w:r>
            <w:r>
              <w:rPr>
                <w:rFonts w:hint="eastAsia" w:ascii="宋体" w:hAnsi="宋体" w:cs="宋体"/>
                <w:i w:val="0"/>
                <w:iCs w:val="0"/>
                <w:color w:val="auto"/>
                <w:sz w:val="21"/>
                <w:szCs w:val="21"/>
                <w:u w:val="none"/>
                <w:lang w:val="en-US" w:eastAsia="zh-CN" w:bidi="ar"/>
              </w:rPr>
              <w:t xml:space="preserve">噁</w:t>
            </w:r>
            <w:r>
              <w:rPr>
                <w:rFonts w:hint="eastAsia" w:ascii="宋体" w:hAnsi="宋体" w:eastAsia="宋体" w:cs="宋体"/>
                <w:i w:val="0"/>
                <w:iCs w:val="0"/>
                <w:color w:val="auto"/>
                <w:sz w:val="21"/>
                <w:szCs w:val="21"/>
                <w:u w:val="none"/>
                <w:lang w:val="en-US" w:eastAsia="zh-CN" w:bidi="ar"/>
              </w:rPr>
              <w:t xml:space="preserve">烷、二氯甲烷、盐酸(37%)、氯化铁(10%)、煤油、凡士林、氯乙烯基镁、碳酸氢钠溶液、氯化镁(10%)、亚甲蓝指示剂、红药水、次氯酸钠(13%)、磷酸(85%)、四氯化碳、品红(1%)、蔗糖溶液(5%)、丁酮、王水、氯仿、</w:t>
            </w:r>
            <w:r>
              <w:rPr>
                <w:rFonts w:hint="eastAsia" w:ascii="宋体" w:hAnsi="宋体" w:eastAsia="宋体" w:cs="宋体"/>
                <w:i w:val="0"/>
                <w:iCs w:val="0"/>
                <w:color w:val="auto"/>
                <w:sz w:val="21"/>
                <w:szCs w:val="21"/>
                <w:u w:val="none"/>
                <w:lang w:val="en-US" w:eastAsia="zh-CN" w:bidi="ar"/>
              </w:rPr>
              <w:t xml:space="preserve">紫药水、铬酸钾溶(1g/L）、正己烷、铬酸、芥末、苏丹红、乙酸丁酯、甲苯、甲酸(90%)、高锰酸钾(10%)、三氯乙烯、乙醇胺、二甲苯、丙酮、四氢呋喃、石油醚、丙三醇、、苯、硫酸钠饱和液、液体石蜡、双氧水(3%)、苯酚(90%)、氯甲苯、甲基橙、高氯酸、乙醚、硫酸铜(10%)、甲酚、乙二醇、乙基苯、乳酸、硝酸银(1%)、糠醛、氧化锌饱和液、冰醋酸(90%)、乙酰丙酮、氢氧化钠(40%)、二甲基甲酰胺、丁醇、柠檬酸、N,N-二甲基甲酰胺、氨水(28%)、醋酸乙酯、萘、松节油、乙腈检验结果达到5级，无明显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（2）承载能力：台面承载100kg，检测结果为：陶瓷板未出现损坏；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#3、桌架：桌架由左右横梁、前横梁、中横梁、后横梁及拉筋组成，整体稳固牢靠；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#4、左右横梁：左右横梁采用≥3.0mm冷轧钢板经镭射下料、数控折弯焊接成型，表面经高压静电喷涂环氧树脂防护层，耐酸碱，耐腐蚀处理；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#5、前中横梁：左右横梁采用≥2.0mm冷轧钢板经镭射下料、数控折弯焊接成型，表面经高压静电喷涂环氧树脂防护层，耐酸碱，耐腐蚀处理；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#6、后横梁：后横梁采用铝合金挤出，壁厚为1.3mm，表面经高压静电喷涂环氧树脂防护层，耐酸碱，耐腐蚀处理；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#7、拉筋：拉筋采用壁厚为≥1.5mm，60*30的平椭圆管与≥3.5mm的连接片焊接而成，表面经高压静电喷涂环氧树脂防护层，耐酸碱，耐腐蚀处理；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#8、桌腿：桌腿由前腿、装饰件及后腿组成，底部有橡胶脚垫或调节脚，减少与地面摩擦，桌腿底部预留孔位可与地面固定，整体由不同颜色搭配，使产品更具层次感；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#9、前腿：采用壁厚为≥1.5mm厚的D型无缝钢管经镭射下料焊接成型，表面经高压静电喷涂环氧树脂防护层，耐酸碱，耐腐蚀处理，末端衔接ABS一体注塑堵头，腿身具有ABS一体注塑置物挂钩，可承受5KG重量；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#10、装饰件：采用壁厚为≥1.0mm厚的方形铁管经镭射下料焊接成型，表面经高压静电喷涂环氧树脂防护层，耐酸碱，耐腐蚀处理；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#11、后腿：采用壁厚为≥1.5mm厚的D型无缝钢管经镭射下料焊接成型，表面经高压静电喷涂环氧树脂防护层，耐酸碱，耐腐蚀处理，末端衔接ABS一体注塑堵头；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#12、书包斗：采用PP工程塑料作原料，经模具注塑一次成型，外形规格：420mm×300㎜×175㎜，壁厚3mm；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实验桌技术要求满足：GB24820-2009实验室家具通用技术条件：操作台力学性能：水平静载荷试验：力600N,10次；垂直静载荷试验：主桌面：力2000N，10次；持续垂直静载荷：载荷1.25kg/dm²，24h；独立操作台水平冲击稳定性：质量50kg，跌落高度40mm；独立操作台垂直加载稳定性：750N；活动操作台跌落：跌落高度:150mm,10次；垂直冲击试验：跌落高度：300mm，10次；</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3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实验凳</w:t>
            </w:r>
            <w:r/>
          </w:p>
        </w:tc>
        <w:tc>
          <w:tcPr>
            <w:tcW w:w="3312" w:type="pct"/>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#1、凳面：直径≥300mm×30mm 采用环保型PP改性塑料一次性注塑成型 ，表面细纹咬花，防滑不发光；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#2、凳架：采用≥20×40×1.2mm椭圆形无缝钢管成型制作，全圆满焊接完成，结构牢固，经高温粉体烤漆处理，长时间使用也不会产生表面烤漆剥落现象；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#3、升降螺杆：采用内置螺杆式螺旋升降，凳面升高后看不到螺杆不摇晃更美观,高度范围430-490mm；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#4、托盘采用≥165*165*1.8MM钢板冲压而成，托盘与螺杆之间设有一个锥形盘加固，使凳子更加稳固；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#5、脚垫：采用PP加耐磨纤维质塑料注塑成型，有效降低凳子拖动产生的刺耳噪音；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#6、实验凳技术要求满足GB/T3325-2024《金属家具通用技术条件》标准测试：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（1）椅腿前向静载荷：试验过程中，样品未发生倾翻现象，符合要求。检测结果：合格；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（2）椅腿侧向静载荷：试验过程中，样品未发生倾翻现象，符合要求。检测结果：合格；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（3）座面冲击：试验过程中，样品未发生损坏，座面未发生坍陷，符合要求。检测结果：合格；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（4）椅背冲击：试验过程中，样品未发生倾翻现象，符合要求。检测结果：合格；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（5）跌落：试验完成后，样品结构完整，未出现松动、断裂等现象，符合要求。检测结果：合格；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外观性能要求：1）管材：管材应无裂缝、叠缝，外露管口端面应封闭；2）焊接件：焊接处应无脱焊、虚焊、焊穿、错位，焊接处应无夹渣、气孔、焊瘤、焊丝头、咬边、飞溅，焊接处表面波纹应均匀；3）冲压件：冲压件应无脱层、裂缝；4）铆接件：铆接处铆接应牢固，无漏铆、脱铆，铆钉应端正圆滑，无明显锤印；</w:t>
            </w:r>
            <w:r>
              <w:rPr>
                <w:rStyle w:val="920"/>
                <w:rFonts w:hint="eastAsia" w:ascii="宋体" w:hAnsi="宋体" w:eastAsia="宋体" w:cs="宋体"/>
                <w:color w:val="auto"/>
                <w:sz w:val="21"/>
                <w:szCs w:val="21"/>
                <w:lang w:val="en-US" w:eastAsia="zh-CN" w:bidi="ar"/>
              </w:rPr>
              <w:t xml:space="preserve">                                      </w:t>
            </w:r>
            <w:r>
              <w:rPr>
                <w:rStyle w:val="920"/>
                <w:rFonts w:hint="eastAsia" w:ascii="宋体" w:hAnsi="宋体" w:eastAsia="宋体" w:cs="宋体"/>
                <w:color w:val="auto"/>
                <w:sz w:val="21"/>
                <w:szCs w:val="21"/>
                <w:lang w:val="en-US" w:eastAsia="zh-CN" w:bidi="ar"/>
              </w:rPr>
              <w:t xml:space="preserve">                                                                                                                                                                                                                                                                </w:t>
            </w:r>
            <w:r>
              <w:rPr>
                <w:rStyle w:val="916"/>
                <w:rFonts w:hint="eastAsia" w:ascii="宋体" w:hAnsi="宋体" w:eastAsia="宋体" w:cs="宋体"/>
                <w:color w:val="auto"/>
                <w:sz w:val="21"/>
                <w:szCs w:val="21"/>
                <w:lang w:val="en-US" w:eastAsia="zh-CN" w:bidi="ar"/>
              </w:rPr>
              <w:t xml:space="preserve">（7）皱纹或波纹：圆管和扁线管弯曲处弧形应圆滑一致；</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(8）喷涂层：涂层应无漏喷、锈蚀和脱色、掉色现象，涂层应光滑均匀，色泽一致，应无流挂、疙瘩、皱皮、飞漆等缺陷；</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(9）电镀层：表面应无剥落、返锈、毛刺，表面应无烧焦、起泡、针孔、裂纹、花斑（不包括镀彩锌）和划痕。</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（10) 安全性能要求：活动部件间距离≤5mm或≥25mm,折叠产品应无非预期的自行折叠现象，所有垂直滑行的部件，在高于闭合点50mm的任一位置，不应自行下落，抽屉、键盘、拉篮等推拉构件应有防脱落装置，人体接触或收藏物品的部位应无毛刺、刃口、棱角，固定部位的结合应牢固无松动、无少件、透钉、漏钉（预留孔、选择孔除外）；</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(11) 理化性能要求【金属喷漆（塑）涂层】：硬度≥H，冲击强度：冲击高度400mm应无剥落、裂纹、皱纹，耐腐蚀：100h内，观察在溶液中样板上划道两侧3mm以外，应无鼓泡产生，100h后，检查划道两侧3mm外，应无锈迹、剥落、起皱、变色和失光等现象；附着力：应不低于2级。硬度H,符合要求；冲击强度试验完成后，样品无剥落、裂纹、皱纹，符合要求；耐腐蚀试验完成后，样品没有产生鼓泡，符合要求；试验完成后，样品没有锈迹、剥落、起皱、变色和失光等现象，符合要求；附着力＞2级；</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(12) 力学性能要求：强度和耐久性：a)所有零部件无断裂或豁裂；b）用手揿压某些应为牢固的部件，应无永久性松动；c)所有零部件应无影响使用功能的磨损或变形；d)五金连接件应无松动；e)活动部件（门、抽屉等）开关应灵便；f)零部件无明显位移变化；稳定性：应无倾翻。检测结果：符合要求；</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(13) 甲醛释放量：≤0.006mg/m³。检测结果：未检出；</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r>
      <w:tr>
        <w:trPr>
          <w:trHeight w:val="135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功能柱</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L350*W200*H730mm；整体采用专用PP材质，经注塑模具一体化成型，耐摔坚固耐酸耐碱，上桶整体注塑成型，侧面无缝无需螺丝安装。四角圆弧造型，分上下二节设计，底脚两侧带与地面带安装孔构建，内部隐藏实验线管及通风管道，上下桶二节无螺丝拼接而成，整体双色，壁厚≥2.5MM下桶与上桶拼接处缩进30mm凹槽，上桶两侧设有凹凸条纹加强筋增强耐用性能，上桶与下桶卡入式安装连接，可自由拆装，方便设备检修。</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5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水槽柜</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#1、规格：L450mm*W600mm*H840mm；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#2、水槽：采用PP改性材料，塑料注塑一次性成型，水槽后端设置挡板，防止使用过程中水溅至前排学生，内置溢水孔，防止水位过高导致溢水，整体外观线条简约硬朗；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▲3、实验室专用水槽技术性能满足：QB/T2658-2017卫生设备用台盆标准检测合格。</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#4、水槽托架：采用≥1.0mm冷轧钢板经镭射下料、数控折弯焊接成型，表面经高压静电喷涂环氧树脂防护层，耐酸碱，耐腐蚀处理,通过螺丝将水槽固定在托架上，使整体更加稳固；</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#5、水槽柜体：水槽柜体由侧板、前门板、后门板及底座组成，前后各设置一个柜门，便于日后维修养护；</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#6、侧板：采用≥1.0mm冷轧钢板经镭射下料、数控折弯焊接成型，表面经高压静电喷涂环氧树脂防护层，耐酸碱，耐腐蚀处理；</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7、前门板：内置衬板，整体采用1.0mm冷轧钢板经镭射下料、数控折弯焊接成型，表面经高压静电喷涂环氧树脂防护层，耐酸碱，耐腐蚀处理；后门板：采用≥1.0mm冷轧钢板经镭射下料、数控折弯焊接成型，表面经高压静电喷涂环氧树脂防护层，耐酸碱，耐腐蚀处理，通过搭扣锁与柜体连接，拆卸方便；</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#8、底座：采用≥1.0mm冷轧钢板经镭射下料、数控折弯焊接成型，表面经高压静电喷涂环氧树脂防护层，耐酸碱，耐腐蚀处理，底部配置调节脚，减少与地面摩擦；</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▲9、全新钢制水槽柜技术要求满足GB/T 24820-2024实验室家具通用技术标准要求检测结果为符合要求。</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上水装置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#1、用于连接地面水管及水龙头，上水管两端接头采用201不锈钢螺帽铜芯，外管是304钢丝+尼龙丝混编的、内管采用三元内管、角阀是钻石轮（塑料包铁）、阀芯和阀体均为铜制；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下水装置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#1、采用PP材质专用连接管，配有防虹吸，防阻塞装置，不锈钢卡扣连接，安装方便不渗漏；</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A1-09</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★三联水嘴</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体：加厚铜质；涂层：高亮度环氧树脂涂层，耐腐蚀、耐热，防紫外线辐射；陶瓷阀芯90°旋转，使用寿命开关50万次，静态最大耐压20巴；经久耐用，不会出现渗水、断裂现象；鹅颈管可360°旋转；开关旋钮：高密度PP，人体工学设计，手感舒适；</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A1-10</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教师椅</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#1、规格:≥L500mm*W500mm*H800mm；  靠背及下座采用高密度网布格，阻燃、舒适、回弹性好；面料为优质网布格.依照人体工程学设计，线条流畅，美观大方；骨架钢管电镀，气动升降</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8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单口洗眼器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#1、台面安装方式：平时放置于台面，紧急使用时可随意抽起，使用方便；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洗眼喷头：具有过滤泡棉及防尘功能，上面防尘盖平常可防尘，使用时可随时被水冲开，并降低突然打开时短暂的高水压，避免冲伤眼睛；控水阀采用黄铜制作，经高亮度环氧树脂涂层处理，外观美观大方，阀门可自动关闭，密封可靠；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供水软管：采用1.5米长不锈钢软管。技术参数公称压力：0.4MPA密封压力：0.45MPA流量：≧11L/min工作压力：0.2-0.4MPA适用条件：常温纯水或符合卫生标准用水安装说明：1）将固定托盘安装固定于台面上。2）将供水软管锥度母端（内装胶垫）从固定托盘下部穿过，与控水阀G1/2接头部位连接；</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1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智能云盒</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#1.天线类型：内置天线；CPU参数：双核心、四线程、≥2.2GHZ、三级缓存4MB；RAM：</w:t>
            </w:r>
            <w:r>
              <w:rPr>
                <w:rStyle w:val="912"/>
                <w:rFonts w:hint="eastAsia" w:ascii="宋体" w:hAnsi="宋体" w:eastAsia="宋体" w:cs="宋体"/>
                <w:color w:val="auto"/>
                <w:sz w:val="21"/>
                <w:szCs w:val="21"/>
                <w:lang w:val="en-US" w:eastAsia="zh-CN" w:bidi="ar"/>
              </w:rPr>
              <w:t xml:space="preserve">≥</w:t>
            </w:r>
            <w:r>
              <w:rPr>
                <w:rStyle w:val="921"/>
                <w:rFonts w:hint="eastAsia" w:ascii="宋体" w:hAnsi="宋体" w:eastAsia="宋体" w:cs="宋体"/>
                <w:color w:val="auto"/>
                <w:sz w:val="21"/>
                <w:szCs w:val="21"/>
                <w:lang w:val="en-US" w:eastAsia="zh-CN" w:bidi="ar"/>
              </w:rPr>
              <w:t xml:space="preserve">8GB；</w:t>
            </w:r>
            <w:r>
              <w:rPr>
                <w:rStyle w:val="921"/>
                <w:rFonts w:hint="eastAsia" w:ascii="宋体" w:hAnsi="宋体" w:eastAsia="宋体" w:cs="宋体"/>
                <w:color w:val="auto"/>
                <w:sz w:val="21"/>
                <w:szCs w:val="21"/>
                <w:lang w:val="en-US" w:eastAsia="zh-CN" w:bidi="ar"/>
              </w:rPr>
              <w:br/>
            </w:r>
            <w:r>
              <w:rPr>
                <w:rStyle w:val="921"/>
                <w:rFonts w:hint="eastAsia" w:ascii="宋体" w:hAnsi="宋体" w:eastAsia="宋体" w:cs="宋体"/>
                <w:color w:val="auto"/>
                <w:sz w:val="21"/>
                <w:szCs w:val="21"/>
                <w:lang w:val="en-US" w:eastAsia="zh-CN" w:bidi="ar"/>
              </w:rPr>
              <w:t xml:space="preserve">#2.内置硬盘：128GB，可扩展到2TB，支持截屏图片</w:t>
            </w:r>
            <w:r>
              <w:rPr>
                <w:rStyle w:val="921"/>
                <w:rFonts w:hint="eastAsia" w:ascii="宋体" w:hAnsi="宋体" w:eastAsia="宋体" w:cs="宋体"/>
                <w:color w:val="auto"/>
                <w:sz w:val="21"/>
                <w:szCs w:val="21"/>
                <w:lang w:val="en-US" w:eastAsia="zh-CN" w:bidi="ar"/>
              </w:rPr>
              <w:t xml:space="preserve">、录制视频的存储与调用；按键：电源键 *1，录制键 *1；HDMI接口：具备≥2个HDMI输入接口，支持电脑、摄像头、实物展台等外部设备的有线接入；具备≥2个HDMI输出接口，支持输出到2个不同的大屏端；影音接口：LineIn*1，支持麦克风的连接；LineOut*1，支持音箱的连接；USB接口：具备≥3个USB接口，支持U盘、鼠标、键盘、摄像头的接入；内置无线AP：内置无线AP模块，WiFi支持：IEEE 802.11 a/b/g/n/ac；工作频段：2.4GHz和5GHz；最大无线速率≥1.3Gbps；</w:t>
            </w:r>
            <w:r>
              <w:rPr>
                <w:rStyle w:val="921"/>
                <w:rFonts w:hint="eastAsia" w:ascii="宋体" w:hAnsi="宋体" w:eastAsia="宋体" w:cs="宋体"/>
                <w:color w:val="auto"/>
                <w:sz w:val="21"/>
                <w:szCs w:val="21"/>
                <w:lang w:val="en-US" w:eastAsia="zh-CN" w:bidi="ar"/>
              </w:rPr>
              <w:br/>
            </w:r>
            <w:r>
              <w:rPr>
                <w:rStyle w:val="921"/>
                <w:rFonts w:hint="eastAsia" w:ascii="宋体" w:hAnsi="宋体" w:eastAsia="宋体" w:cs="宋体"/>
                <w:color w:val="auto"/>
                <w:sz w:val="21"/>
                <w:szCs w:val="21"/>
                <w:lang w:val="en-US" w:eastAsia="zh-CN" w:bidi="ar"/>
              </w:rPr>
              <w:t xml:space="preserve">#3.网络接口：具备≥3个10/100/1000Mbps以太网RJ45数据接口，支持WAN口外接网线接入互联网，或LAN口外接网线输出网络数据；网络工作模式：支持无线路由器、无线交换和网络终端三种模式；HDMI输出适配：支持多种显示分辨率，可自动适配外接的大屏端分辨率，最高支持3840*2160分辨率；</w:t>
            </w:r>
            <w:r>
              <w:rPr>
                <w:rStyle w:val="921"/>
                <w:rFonts w:hint="eastAsia" w:ascii="宋体" w:hAnsi="宋体" w:eastAsia="宋体" w:cs="宋体"/>
                <w:color w:val="auto"/>
                <w:sz w:val="21"/>
                <w:szCs w:val="21"/>
                <w:lang w:val="en-US" w:eastAsia="zh-CN" w:bidi="ar"/>
              </w:rPr>
              <w:br/>
            </w:r>
            <w:r>
              <w:rPr>
                <w:rStyle w:val="921"/>
                <w:rFonts w:hint="eastAsia" w:ascii="宋体" w:hAnsi="宋体" w:eastAsia="宋体" w:cs="宋体"/>
                <w:color w:val="auto"/>
                <w:sz w:val="21"/>
                <w:szCs w:val="21"/>
                <w:lang w:val="en-US" w:eastAsia="zh-CN" w:bidi="ar"/>
              </w:rPr>
              <w:t xml:space="preserve">#4.支持定时重启功能，能够在每天自定义时间进行设备重启，投屏传输距离大于100米。</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27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课堂交互系统软件</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#1.多语言切换：系统支持多种语言模式的快速切换，满足外教教学的要求；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屏幕工具条：用户可直接在触控显示屏上触控点击系统工具条，或通过鼠标点击工具条进行操作，工具条具有截屏、录制、广播、布局、切屏、批注、白板、互动等功能按钮，并显示时间、设备名称、网络IP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软件遥控器：教学互动终端无需硬件遥控器或USB切换器，用户只需扫码下载遥控器APP即可将移动终端作为控制端，软件控制端支持截屏、录制、广播、布局、批注、白板、互动等功能按钮，支持Windows、Android、iOS系统设备安装控制端软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#4.全屏缩放：支持在遥控器APP端或触控显示屏端对显示画面进行缩小、放大操作，能够对单屏或多屏画面进行放大。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#5.国产化支持：支持国产麒麟、统信操作系统和国产CPU环境下，用纯软件实现≥10个国产电脑同时接入教学互动终端，≥10个画面同时显示。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实验展播：支持通过网络把网络摄像机信号接入，在教学互动终端上直接读取显示。可以通过APP遥控器或屏幕工具栏对摄像机预置≥20个机位，使用时可以对摄像机快速切换机位，支持调整摄像机转动速度的快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文件读取：系统支持查看U盘、云盘、内置硬盘和遥控器APP上传的本地文件和云空间下载文件，支持将外接U盘中的图片、视频、音频、文档等文件资料直接上屏展示；支持通过截屏和录制将存储在图库（U盘、云盘、内置硬盘）中的图片、视频直接上屏展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设备和文件分类：系统自动对设备（有线接入设备、无线投屏设备）、文件（U盘、云盘、内置硬盘、遥控器APP上传的本地文件和云空间下载文件）、分组（分组端教学互动终端）、网络摄像机、手写板等设备进行分类；支持对已连接的设备进行置顶、重命名、移动至分组、移除等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#9.多种画面布局显示：支持≥10个投屏设备同时接入教学互动终端，≥10个画面同时显示，且支持Auto（自适应）画面。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#10.一键截屏：支持一键截取当前屏幕的显示画面。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微课录制：支持多种方式开启微课录制，如教学互动终端的“录制”按键、屏幕工具条的“录制”按钮和遥控器APP中的“录制”按钮；支持屏幕多画面和外接麦克风声音同步录入，提供720P和1080P视频显示格式可选，录制的视频可保存在外接U盘、云盘或内置硬盘中，支持存储空间不足时的文字提醒功能；录制结果为一个标准MP4格式的视频，录制过程中可随时暂停、停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#12.白板批注：系统提供画笔、激光笔、宽度、板擦、清空、撤销、重做、聚焦、随写板等工具，支持普通画笔书写、荧光画笔书写和激光笔定位。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#13.App应用：支持第三方应用程序嵌入式安装在教学互动终端，无需借助教师平板可直接开启师生互动软件，完成课堂教学互动过程。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反向控制：支持在触控显示屏上对HDMI有线接入的Windows电脑进行反向控制操作，支持无线投屏的部分Android、Windows设备进行反向控制操作，具有选择开启或关闭功能按钮，同时还支持在显示终端大屏触摸或通过教学互动终端外接鼠标以及遥控器软件进行反向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#15.双屏显示：支持1个教学互动终端外接2个显示屏，显示模式包含镜像模式、扩展模式两种显示效果。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#16.课程录播：支持添加追踪摄像机并对摄像机镜头和焦距进行控制，实现对教师、学生、板书的自动跟踪拍摄和切换。支持常态录播模式、电影模式、手动导播模式。</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3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互动音频处理器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#1.音频处理部分和功率放大器集成到一个机箱内；具有</w:t>
            </w:r>
            <w:r>
              <w:rPr>
                <w:rStyle w:val="922"/>
                <w:rFonts w:hint="eastAsia" w:ascii="宋体" w:hAnsi="宋体" w:eastAsia="宋体" w:cs="宋体"/>
                <w:color w:val="auto"/>
                <w:sz w:val="21"/>
                <w:szCs w:val="21"/>
                <w:lang w:val="en-US" w:eastAsia="zh-CN" w:bidi="ar"/>
              </w:rPr>
              <w:t xml:space="preserve">≥</w:t>
            </w:r>
            <w:r>
              <w:rPr>
                <w:rStyle w:val="921"/>
                <w:rFonts w:hint="eastAsia" w:ascii="宋体" w:hAnsi="宋体" w:eastAsia="宋体" w:cs="宋体"/>
                <w:color w:val="auto"/>
                <w:sz w:val="21"/>
                <w:szCs w:val="21"/>
                <w:lang w:val="en-US" w:eastAsia="zh-CN" w:bidi="ar"/>
              </w:rPr>
              <w:t xml:space="preserve">4路48V幻象供电麦克风输入； 具有≥4路平衡式线性输入，采用凤凰端子，可接低延时无线麦克风输入（任何频段），无线麦克风和有线麦克风支持闪避设置；具有≥6路平衡式线性输出，采用凤凰端子；</w:t>
            </w:r>
            <w:r>
              <w:rPr>
                <w:rStyle w:val="921"/>
                <w:rFonts w:hint="eastAsia" w:ascii="宋体" w:hAnsi="宋体" w:eastAsia="宋体" w:cs="宋体"/>
                <w:color w:val="auto"/>
                <w:sz w:val="21"/>
                <w:szCs w:val="21"/>
                <w:lang w:val="en-US" w:eastAsia="zh-CN" w:bidi="ar"/>
              </w:rPr>
              <w:br/>
            </w:r>
            <w:r>
              <w:rPr>
                <w:rStyle w:val="921"/>
                <w:rFonts w:hint="eastAsia" w:ascii="宋体" w:hAnsi="宋体" w:eastAsia="宋体" w:cs="宋体"/>
                <w:color w:val="auto"/>
                <w:sz w:val="21"/>
                <w:szCs w:val="21"/>
                <w:lang w:val="en-US" w:eastAsia="zh-CN" w:bidi="ar"/>
              </w:rPr>
              <w:t xml:space="preserve">#2.预留1路两通道USB音频接口，可传输AEC-REF、AEC-OUT数据，可整合到电脑作为声卡，无缝对接在线教学平台及软会议平台音频系统；2路（左右声道）功放输出，每通道支持2路并联，每路最大100W；物理面板具有便于远程调试、升级的配对按键；支持远程控制和音频监听、对讲功能。</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全向麦克风</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#1.传感器类型：电容式；指向性：心型；频响：50Hz~16kHz；灵敏度：-47dB±3dB(0dB=1V/Pa@1kHz)；输出阻抗：2.2kΩ（@1kHz）；输出连接器/线缆：标准XLR-3公型/双绞屏蔽MIC电缆。</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指向麦克风</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#1.传感器类型：Φ24背极式驻极体电容极头；电路特征：JFET阻抗变换；电子平衡；指向性：360度全向拾音，拾音半径可达8米；频响：50Hz-20kHz；灵敏度：-44±3dB (0dB=1V/Pa@1kHz)。</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#1.系统类型：单6.5"专业全频音箱；阻抗：8Ω；频响： 50Hz-18kHz；额定功率： ≥40W；承受功率：≥100W。</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162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跟踪摄像机</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#1.支持4K超高清分辨率图像，最大可提供4K@30fps/25fps图像编码输出，同时向下兼容1080p，720p等分辨率；传感器要求：传感器尺寸≥1/2.8英寸</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有效像素≥800万；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#2.内置领先图像识别与跟踪算法，无其他辅助的情况下，即可实现平滑自然的EPTZ跟踪效果；能为教师跟踪设置精准灵活的跟踪模型；镜头焦距：8±0.3mm；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#3.摄像机可同时输出≥4路码流的图像，支持全景画面和特写画面同时输出，且至少一路视频支持自动导切视频输出，全景画面和特写画面分辨率同时支持1920x1080@25fps以上；具备畸变矫正功能。</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5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A1-19</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云台摄像机</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#1.视频分辨率：1080P60，1080P50，1080P30，1080P25，720P60，720P50；200万有效像素高品质HD CMOS传感器；镜头：12x, f3.5mm~42.3mm, F1.8~F2.8；数字变焦：16x；数字降噪：可同时应用2D和3D降噪算法；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#2.图像信噪比：≥55dB；视场角：水平72.5°~6.9°，垂直44.8°~3.9°；转动范围：水平±170°，垂直-30°~+90°。</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A1-20</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★互动电视机</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#1.屏幕物理尺寸≥55吋；屏幕分辨率≥3840*2160；屏幕刷新率≥60Hz；屏幕可视角度≥±176度；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#2.整机功耗≤120W。</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A2、智能控制系统</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17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智能系统控制箱</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#1、规格：L530mm*W205mm*H850mm(±5mm)；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控制箱内置：3P总电源开关1组，3P风机开关1组，学生总控2P漏电保护器一组，交流电源开关1组，单片机控制器及功能扩展模块1套，单片机保护模块1个,风机控制系统1套，急停控制系统1套；配有关键安全系统长时间不操作，自动切断总电源。电源分组控制系统1套、照明分组控制系统1套、供排水分组控制系统1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摇臂控制系统：教师通过控制箱或移动设备对全室摇臂进行单独或分组控制（上升、下降或暂停，上升或下降到底后摇臂会自动停止）；电源控制系统：教师通过控制箱或移动设备对全室220V高压及0-30V低压进行单独或分组控制；照明控制系统：教师通过控制箱或移动设备对全室照明进行单独或分组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通风控制系统：标配高性能矢量控制变频器，此变频器采用模块化设计，双CPU控制，是集数字技术、计算机技术、现代自控技术于一体的高科技产品，具有精度高、噪音低、转矩大、性能可靠及高效节能等优点。主要参数指标有：a. LED显示：频率指示、转速指示、状态指示、异常指示等；b.额定输入电压：三相380V，±15%；c.额定输入频率：50/60 Hz；d.控制方式：空间电压矢量控制；e.输出频率：1.00~50 Hz；f.过载能力：150%额定电流；g.完善的保护功能：输入缺相、短路、欠压、过流、过压、过载、过热等；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给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8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智能控制屏</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#1、规格：≥10寸高分辨率工业触摸屏，集中控制系统，可执行各选项控制（配一启动按钮开关和一急停开关）；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摇臂控制：对全室摇臂进行单独或分组控制（上升、下降或暂停，上升或下降到底后摇臂会自动停止），具有防卡，防夹功能；电源控制：对全室220V进行单独或分组控制；照明控制：对全室照明进行单独或分组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#3、通风控制：触摸数字无极变频控制，具有频率数字显示功能，可精确控制通风风量；供水控制：对全室供排水进行控制；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吊装控制系统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#1、APP登录，网络注册后进入系统，方便用户找回忘记的密码，给系统升级也提供方便；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#2、APP可控制总电源的开关；可控制学生实验用低压直流电源（0-30V），学生也可自己调节；可显示当前温度、相对湿度及当前时间；同时还可控制水/电/风/灯的开启与关闭等；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#3、APP移动设备与智能控制屏可以同步操作；</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温湿度探测系统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#1、智能系统控制箱内配置精密温湿度传感器，实时监测室内的温度和湿度，实时显示当前环境的温度和湿度，为舒适的室内环境提供实时数据参考；</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A3、顶部集成供给系统</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9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吊装主体框架</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#1、舱体规格：L1200mm*W500mm*H203mm；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整体模块化设计,框架采用5mm、3mm、2mm及1mm厚冷轧钢板，经激光雕刻机精细雕刻，数控折弯成型，表面经环氧树脂粉末喷涂高温固化处理，承重性能强且耐酸碱、耐腐蚀；两侧设置铝合金保护罩；端头采用整体ABS注塑成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冷轧钢板技术要求满足GB/T10125-2021《人造气氛腐蚀试验盐雾试验》和GB/T6461-2002《金属基体上金属和其他无机覆盖层经腐蚀试验后的试样和试件的评级》标准测试：进行24h的中性盐雾试验最后测试结果符合10级要求；</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主体保护罩</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#1、铝合金型材，辅件采用冷轧钢板，保护主体构架内的供应系统的安全，防止灰尘进入罩体内；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▲2、冷轧钢板技术要求满足GB/T4893.8家具表面漆膜耐磨性能测定法标准测试：漆膜耐磨性能测试中等级1的要求；</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6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吊装端头</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#1、整体采用ABS材料，抗老化、易清洁；模具一体成型，头部配备双色LED工作状态指示灯；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▲2、ABS原材料技术要求满足GB/T 1843-2008、GB/T4207-2022标准检测：1）冲</w:t>
            </w:r>
            <w:r>
              <w:rPr>
                <w:rFonts w:hint="eastAsia" w:ascii="宋体" w:hAnsi="宋体" w:eastAsia="宋体" w:cs="宋体"/>
                <w:i w:val="0"/>
                <w:iCs w:val="0"/>
                <w:color w:val="auto"/>
                <w:sz w:val="21"/>
                <w:szCs w:val="21"/>
                <w:u w:val="none"/>
                <w:lang w:val="en-US" w:eastAsia="zh-CN" w:bidi="ar"/>
              </w:rPr>
              <w:t xml:space="preserve">击强度（无缺口）：不破坏；试样未断裂，仅弯曲并穿过支座，可能兼有应力发白。83.5kJ/m²；2）拉伸强度：不破坏；试样未断裂，27.3Mpa；3）弯曲强度：不破坏；试样未断裂，48.0Mpa；4）阻燃+水平+垂直：符合V-0等级；5）漏电起痕：耐漏电起痕指数（Comparative Tracking Index,CTI）是表示材料耐漏电性的指标。在对绝缘物表面施加电压的状态下，使电解液滴落于电极间的塑料试样表面，评价到何电压为止不发生漏电破坏。按照耐压值从0到5进行分级。数字越小，耐漏电性越高。等级5级。</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6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智能摇臂升降系统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#1、摇臂转动系统控制接收信号为远程智能手动和触摸远程无线操作功能，动力采用直流24V静音低速低压电机；                </w:t>
            </w:r>
            <w:r>
              <w:rPr>
                <w:rFonts w:hint="eastAsia" w:ascii="宋体" w:hAnsi="宋体" w:eastAsia="宋体" w:cs="宋体"/>
                <w:i w:val="0"/>
                <w:iCs w:val="0"/>
                <w:color w:val="auto"/>
                <w:sz w:val="21"/>
                <w:szCs w:val="21"/>
                <w:u w:val="none"/>
                <w:lang w:val="en-US" w:eastAsia="zh-CN" w:bidi="ar"/>
              </w:rPr>
              <w:t xml:space="preserve">                                                                                                                                                                                                 #2、连接杆采用≥80*55*1.8mm专用铝合金模具一体成型，内部水电分离，功能模块采用注塑模具一体成型，形状为长方形设计；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#3、功能模块可安装高低压电源（低压电源为交直流，可以显示交直流电压）、急停开关、网络接口、USB接口等功能；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#4、系统自带障碍物保护功能，具有防夹，防卡功能，当摇臂在运动的过程中遇到障碍物时会自动停止，具有过流保护功能；</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集成功能模块</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#1、采用ABS材质，模具一体成型；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#2、模块内部采用双层设计，水电隔离设计，相互不干扰，保证设备安全可靠性；模块内预留高压、低压、网络、USB、举手按键、上下水接口位置；</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A3-06</w:t>
            </w:r>
            <w:r/>
          </w:p>
        </w:tc>
        <w:tc>
          <w:tcPr>
            <w:tcW w:w="559"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电源供应模块</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#1、接收智能化控制系统控制，内含新国标5孔插座；可以分组或独立控制电源供给；220V；</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160"/>
        </w:trPr>
        <w:tc>
          <w:tcPr>
            <w:tcW w:w="40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559"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#1、学生电源采用耐磨、耐腐蚀、耐高温的PC亮光薄膜面板，控制采用触摸屏式，可以随意设置电压，准确、快捷。贴片元件生产技术，微电脑控制；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直流稳压输出：0-16V，额定电流2A；16-30V，额定电流1A。最小调节单元0.1V。交流电压输出：0~18V，额定电流2A；18V-30V，额定电流1A。最小调节单元1V。交直流电源具有过载保护智能检测功能，显示“OVER”过载短路保护提示。采用按钮复位功能免除反复过载冲击负载，保护功能更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#3、电源采用≥2.8寸彩色液晶屏，显示电压，电流，温度，湿度等信息；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#4、学生低压电源都可接收主控电源发送的锁定信号，在锁定标识显示后，学生接收教师输送的设定电源电压，教师锁定时，学生自己无法操作，这样可避免学生的误操作，可以分组或独立控制；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559"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#1、采用485网络模块接口、USB接口，即插即用；</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保险模块</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#1、系统出现异常时，自动切断电源，确保实验操作时的安全性；</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急停装置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#1、铝合金材质，在水电系统出现故障时紧急制动，确保实验操作时的安全性；</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A3-09</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供电线路</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#1、模块化设计，每组模块间采用活接式连接，方便安装、检修，采用2.5mm²电线进行系统布线；</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A3-10</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照明系统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#1、接收智能化控制系统控制，功能面板采用≥1200*80mm，配置LED日光灯1根，每根15W；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#2、灯罩采用PC一次成型，设计安装磨砂透明均光板，不仅能使光线扩散均匀更能起到安全防护作用；</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举手系统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#1、学生举手系统，通过按压电源面板“举手”按键，端头指示灯发生颜色变换，反馈与老师；</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2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自动给排水系统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#1、排水模块一组，水位控制器一组，电源控制器一组，自动回位器一组；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#2、所有排水由智能化控制系统集中控制，在三联高低位龙头处设置排水接口，接口与学生水槽柜采用硅胶软管（具有防酸、防碱、耐腐蚀功能）连接；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接口均采用自动锁紧插拔式连接方式（拔掉时没有污水流出），用时接上，不用时可收起。当学生水槽柜量达到一定值时系统自动排水、污水经过连接管排至顶部排水管总管后流出，当水槽柜污水排净后排水系统自动关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#4、控制系统设置一键排空功能，可一键将管道内所有的污水排空；</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给排水接口</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#1、给排水接口采用PVC材质，具有耐酸碱，拔插轻松，不生锈；即插即用，具有高密封性能，即使在供水排水工作时，随时拔掉接口不会有任何滴漏现象；</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给水管路</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#1、给水主管选用φ20-32mmPP-R给水管，模块化设计，每组模块间采用活接式连接，方便安装、检修；</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排水管路</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#1、排水管选用加厚φ50-75mmPVC-U国标管（具有防酸、防碱、耐腐蚀功能），模块化设计，每组模块间采用活接式连接，方便安装、检修；</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学生端分组控制系统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#1、采用模块化设计，可单独设置独立控制装置，包含独立摇臂、独立上水、独立排水、独立电源，独立照明，每个装置的每个功能可以单独开启、关闭，安全性高、实用性强；</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系统安装辅件</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#1、采用横梁吊装方式，减少楼板承重，防止左右晃动，可进行上下、左右的平衡调节；主要辅件有：三角构件、直角座、龙骨架连接件、吊装挂件、安装连接板等；</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A4、通风系统</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8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万向吸风罩</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#1、关节：采用高密度PP聚丙烯材质，可360°旋转调节方向，易拆卸、重组及清洗，颜色有白色和红色可选；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#2、关节密封圈：采用不易老化的高密度橡胶；关节连接杆：304不锈钢连接杆；关节松紧旋钮：高密度PP材质，内嵌不锈钢轴承，与关节连接杆锁合；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#3、气流调节阀：方便的手动调节外部阀门旋钮，控制进入之气流量；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#4、集气罩：PP白色/红色/透明， 罩口直径不小于375mm；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#5、标配固定底座：非粘接而成，模具注塑一体成型，牢度强，不脱底；</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室内行程通风系统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#1、主风管：采用具有耐酸碱性能PVCФ400㎜、支分管Ф160㎜，Ф110mm；管</w:t>
            </w:r>
            <w:r>
              <w:rPr>
                <w:rFonts w:hint="eastAsia" w:ascii="宋体" w:hAnsi="宋体" w:eastAsia="宋体" w:cs="宋体"/>
                <w:i w:val="0"/>
                <w:iCs w:val="0"/>
                <w:color w:val="auto"/>
                <w:sz w:val="21"/>
                <w:szCs w:val="21"/>
                <w:u w:val="none"/>
                <w:lang w:val="en-US" w:eastAsia="zh-CN" w:bidi="ar"/>
              </w:rPr>
              <w:t xml:space="preserve">卡采用碳钢制作，表面经镀铬处理，具有耐腐蚀、防火、防潮等功能；                                                                                                                                                                                                                                 </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室外行程通风系统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#1、采用PVC风管，或PP焊接管具有耐酸碱性能；规格：主风管直径400mm；管卡采用碳钢制作，表面经镀铬处理，具有耐腐蚀、防火、防潮等功能；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通风风机</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#1、6#离心风机；材料：PP板材料；电机功率：6A-4kW；技术要求：转速 1450r/min，风量：6677-13353，全压：1139-724，噪声符合国家标准；随机配件：防雨风帽、电机防雨罩及减震垫；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#1、采用电流无感矢量控制，额定电压：AC3PH380V+15%，频率：50～60Hz；</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消音器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#1、规格：外径Ф600㎜，内径Ф400㎜、高度1000mm, 圆形；材料：PP材质，内置隔音棉等隔音装置；</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风机软连接</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#1、进风口：采用PVC柔性材料制作，规格：Ф600-Ф400mm，因风机振动引起</w:t>
            </w:r>
            <w:r>
              <w:rPr>
                <w:rFonts w:hint="eastAsia" w:ascii="宋体" w:hAnsi="宋体" w:eastAsia="宋体" w:cs="宋体"/>
                <w:i w:val="0"/>
                <w:iCs w:val="0"/>
                <w:color w:val="auto"/>
                <w:sz w:val="21"/>
                <w:szCs w:val="21"/>
                <w:highlight w:val="none"/>
                <w:u w:val="none"/>
                <w:lang w:val="en-US" w:eastAsia="zh-CN" w:bidi="ar"/>
              </w:rPr>
              <w:t xml:space="preserve">的消除振音传递和消除微量错位对风机的影响；                                                                       </w:t>
            </w:r>
            <w:r>
              <w:rPr>
                <w:rFonts w:hint="eastAsia" w:ascii="宋体" w:hAnsi="宋体" w:eastAsia="宋体" w:cs="宋体"/>
                <w:i w:val="0"/>
                <w:iCs w:val="0"/>
                <w:color w:val="auto"/>
                <w:sz w:val="21"/>
                <w:szCs w:val="21"/>
                <w:highlight w:val="none"/>
                <w:u w:val="none"/>
                <w:lang w:val="en-US" w:eastAsia="zh-CN" w:bidi="ar"/>
              </w:rPr>
              <w:t xml:space="preserve">                                                                                                                            #2、出风口：材料PP，规格方转圆地方风机接口；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#3、技术要求：抗撞强度500（MPa）；</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风机控制线</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#1、国标：采用交联聚乙烯绝缘﹑铝塑带绕包总屏蔽﹑低烟无卤聚烯烃内衬层﹑钢丝铠装﹑低烟无卤聚烯烃护套耐火计算机对绞控制电缆；                                        </w:t>
            </w:r>
            <w:r>
              <w:rPr>
                <w:rFonts w:hint="eastAsia" w:ascii="宋体" w:hAnsi="宋体" w:eastAsia="宋体" w:cs="宋体"/>
                <w:i w:val="0"/>
                <w:iCs w:val="0"/>
                <w:color w:val="auto"/>
                <w:sz w:val="21"/>
                <w:szCs w:val="21"/>
                <w:u w:val="none"/>
                <w:lang w:val="en-US" w:eastAsia="zh-CN" w:bidi="ar"/>
              </w:rPr>
              <w:t xml:space="preserve">                                                                                                                                                              #2、电缆的额定电压300/500V，电缆长期工作温度-30～90℃，电缆敷设温度不低于0℃，电缆弯曲半径不小于电缆直径的12倍，低烟无卤成束阻燃型电缆燃烧时析出气体中HCL含量≤100mg/g；</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A5、文宣装修</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95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A5-01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文宣装修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#1、吊顶（约120</w:t>
            </w:r>
            <w:r>
              <w:rPr>
                <w:rStyle w:val="923"/>
                <w:rFonts w:hint="eastAsia" w:ascii="宋体" w:hAnsi="宋体" w:eastAsia="宋体" w:cs="宋体"/>
                <w:color w:val="auto"/>
                <w:sz w:val="21"/>
                <w:szCs w:val="21"/>
                <w:lang w:val="en-US" w:eastAsia="zh-CN" w:bidi="ar"/>
              </w:rPr>
              <w:t xml:space="preserve">㎡</w:t>
            </w:r>
            <w:r>
              <w:rPr>
                <w:rStyle w:val="916"/>
                <w:rFonts w:hint="eastAsia" w:ascii="宋体" w:hAnsi="宋体" w:eastAsia="宋体" w:cs="宋体"/>
                <w:color w:val="auto"/>
                <w:sz w:val="21"/>
                <w:szCs w:val="21"/>
                <w:lang w:val="en-US" w:eastAsia="zh-CN" w:bidi="ar"/>
              </w:rPr>
              <w:t xml:space="preserve">）：</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1）铝方通吊顶（长1000*宽300*厚1.0mm）颜色定制；</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2）龙骨：包含A－字龙骨元件、主龙骨、主龙骨吊件、三角龙骨、三角龙骨吊件等；</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3）其他辅件：封边条、钢丝、膨胀螺丝、钢钉、木条等；</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#2、墙面（约165㎡）：</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1）打磨原有墙面，批腻子一遍，乳胶漆一遍，彩色漆；</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#3、地面（约120</w:t>
            </w:r>
            <w:r>
              <w:rPr>
                <w:rStyle w:val="923"/>
                <w:rFonts w:hint="eastAsia" w:ascii="宋体" w:hAnsi="宋体" w:eastAsia="宋体" w:cs="宋体"/>
                <w:color w:val="auto"/>
                <w:sz w:val="21"/>
                <w:szCs w:val="21"/>
                <w:lang w:val="en-US" w:eastAsia="zh-CN" w:bidi="ar"/>
              </w:rPr>
              <w:t xml:space="preserve">㎡</w:t>
            </w:r>
            <w:r>
              <w:rPr>
                <w:rStyle w:val="916"/>
                <w:rFonts w:hint="eastAsia" w:ascii="宋体" w:hAnsi="宋体" w:eastAsia="宋体" w:cs="宋体"/>
                <w:color w:val="auto"/>
                <w:sz w:val="21"/>
                <w:szCs w:val="21"/>
                <w:lang w:val="en-US" w:eastAsia="zh-CN" w:bidi="ar"/>
              </w:rPr>
              <w:t xml:space="preserve">）：</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1）清理原地面基础上的浮尘和砂粒；                                                                                                                     </w:t>
            </w:r>
            <w:r>
              <w:rPr>
                <w:rStyle w:val="916"/>
                <w:rFonts w:hint="eastAsia" w:ascii="宋体" w:hAnsi="宋体" w:eastAsia="宋体" w:cs="宋体"/>
                <w:color w:val="auto"/>
                <w:sz w:val="21"/>
                <w:szCs w:val="21"/>
                <w:lang w:val="en-US" w:eastAsia="zh-CN" w:bidi="ar"/>
              </w:rPr>
              <w:t xml:space="preserve">                                                                                                                                                                                            2）黑色哑光不锈钢饰面踢脚线；                                                     </w:t>
            </w:r>
            <w:r>
              <w:rPr>
                <w:rStyle w:val="916"/>
                <w:rFonts w:hint="eastAsia" w:ascii="宋体" w:hAnsi="宋体" w:eastAsia="宋体" w:cs="宋体"/>
                <w:color w:val="auto"/>
                <w:sz w:val="21"/>
                <w:szCs w:val="21"/>
                <w:lang w:val="en-US" w:eastAsia="zh-CN" w:bidi="ar"/>
              </w:rPr>
              <w:t xml:space="preserve">                                                                                                                                                                                                                                                      3）采用PVC地胶：</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#4、线路改造：</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1）强电：照明、插座2.5平方国标线材，PVC阻燃套管、阻燃型86盒，电线无接头、分线有盒，国标墙面地面插座、双控开关移位及增补；</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2）弱电：PVC阻燃套管、阻燃型86盒，网线、音频线、视频线、控制线敷设及线头压制，配套各类接着头；</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3）其他：除楼板以外均须开槽暗敷并修复，包含垃圾清运；</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#5、照明：LED光源筒灯24组嵌入式安装，银色铝质型材边框，预留安装定位台阶面，边框厚度≤12（mm）；</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#6、其他：全部文宣内容及装修样式，施工前需经采购方确认；包含施工垃圾清运。</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74"/>
        <w:gridCol w:w="6587"/>
        <w:gridCol w:w="721"/>
        <w:gridCol w:w="715"/>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B－化学数字化探究</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3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B1、教师端无线带屏手持式传感器和配套实验器材</w:t>
            </w:r>
            <w:r/>
          </w:p>
        </w:tc>
        <w:tc>
          <w:tcPr>
            <w:tcW w:w="362"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57"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23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#1、数字化探究实验专用，集数据采集、分析、存储为一体，可移动，便携，配套数据采集器或智能数字实验终端或直连传感器使用。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#2、显示屏幕尺寸：不低于10.1英寸。显示触摸屏：IPS触摸屏。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#3、处理器CPU：采用14nm制作工艺，功耗低至6W；处理器频率1.1GHz～2.4GHz。运行内存：不低于4GB。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#4、储存空间：不小于64GB的内置储存空间，支持扩展MICRO储存卡。无线WIFI：802.11/b/g/n。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#5、摄像头：不低于前置200万像素和后置200万像素。电池容量：内置大容量电池，使用续航时间不少于5小时。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#6、操作系统：Windows10或11操作系统。配备磁吸式键盘，支持切换平板形态和笔记本形态。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#7、接口齐备，方便拓展：USB3.0×1；Type-C接口×1；DC接口；Mini HDMI接口×1。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#8、内置数据分析软件：配套DIS实验软件，中文界面，符合新课程标准要求，具有强大的数据分析功能，可显示数字、图形、表格、仪表、温度计等多种方式。</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98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#1、一体化结构设计，丝印产品型号、名称、传感器通道、接计算机通道，便于用户识别；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#2、通过USB-B口与计算机或便携式实验终端连接，无需外接电源，即可进行通电和数据通讯；通过USB2.0口与传感器连接，可同时接入八个传感器，即插即用，自动识别所有传感器；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#3、八路全数字通道，采集分辨率14bits，采样频率最大可达100KHz，支持数据采集器级联；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#4、采集器采用低压设计保证用户安全，所有端口具备短路保护功能，PCB设置接地引到外壳；预留DC5V电源接口，配有专用适配器，在电压不足或多传感器使用时保证供电电压稳定。</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无线蓝牙模块</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无线带屏幕数字化传感器配合使用，接插于数据采集终端（便携式实验终端或笔记本电脑）的USB口；通过无线蓝牙方式实现传感器的无线数据通讯，可实现多通道无障碍传输距离100米；连接稳定顺畅，即插即用，响应迅速，互不干扰。</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3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#1、量程：-50℃～250℃，分辨率：0.1℃。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#2、不锈钢探针，用于测各种物体或溶液的温度；手持式技术，便于直接观察数据；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#4、配置≥4.3英寸高清电容触摸屏与振动警告功能单元，支持多点触摸方式，可通过多点触摸方式选择曲线界面内任意区域的放大缩小；传感器自带滚轮调节键，通过滚轮可调节温度采集频率；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30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#1、量程：0～1200°C，分辨率：0.25°C。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#2、用于测量物体表面、气体、酸碱等液体的温度，也可用于超高温的测量；手持式技术，便于直接观察数据；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#4、配置≥4.3英寸高清电容触摸屏与振动警告功能单元，支持多点触摸方式，可通过多点触摸方式选择曲线界面内任意区域的放大缩小；传感器自带滚轮调节键，通过滚轮可调节高温采集频率；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2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#1、量程：0～700kPa，分辨率：0.1kPa。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#2、配有针筒，用于测量大气环境下或密闭空间内的气体的绝对压强；手持式技术，便于直接观察数据；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#4、配置≥4.3英寸高清电容触摸屏与振动警告功能单元，支持多点触摸方式，可通过多点触摸方式选择曲线界面内任意区域的放大缩小；传感器自带滚轮调节键，通过滚轮可调节气压采集频率；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4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相对压强传感器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#1、量程±20kPa，分辨率：0.01kPa。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#2、用于测量大气环境下于被测量空间内的气体的压强差；手持式技术，便于直接观察数据；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#4、配置≥4.3英寸高清电容触摸屏与振动警告功能单元，支持多点触摸方式，可通过多点触摸方式选择曲线界面内任意区域的放大缩小；传感器自带滚轮调节键，通过滚轮可调节相对压强采集频率；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34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湿度传感器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#1、量程：0%～100%RH，分辨率：0.05%。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#2、用于测量空气的相对湿度；手持式技术，便于直接观察数据；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#4、配置4.3英寸高清电容触摸屏与振动警告功能单元，支持多点触摸方式，可通过多点触摸方式选择曲线界面内任意区域的放大缩小；传感器自带滚轮调节键，通过滚轮可调节湿度采集频率；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8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#1、量程：0～14 pH，分辨率：0.01 PH。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#2、用于精确测量溶液的酸碱值；手持式技术，便于直接观察数据；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#4、配置≥4.3英寸高清电容触摸屏与振动警告功能单元，支持多点触摸方式，可通过多点触摸方式选择曲线界面内任意区域的放大缩小；传感器自带滚轮调节键，通过滚轮可调节pH采集频率；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8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B1-10</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电导率传感器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#1、量程：0～20000μS/cm，分辨率：10μS/cm。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#2、用于测量溶液的电导率及其变化；手持式技术，便于直接观察数据；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#4、配置≥4.3英寸高清电容触摸屏与振动警告功能单元，支持多点触摸方式，可通过多点触摸方式选择曲线界面内任意区域的放大缩小；传感器自带滚轮调节键，通过滚轮可调节电导率采集频率；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#1、量程：0%～100%，分辨率：0.025%。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#2、用于测量空气中氧气含量变化；手持式技术，便于直接观察数据；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#4、配置≥4.3英寸高清电容触摸屏与振动警告功能单元，支持多点触摸方式，可通过多点触摸方式选择曲线界面内任意区域的放大缩小；传感器自带滚轮调节键，通过滚轮可调节氧气采集频率；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3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 0～50,000 ppm，分辨率：1 ppm。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#2、用于测量空气中二氧化碳含量变化；手持式技术，便于直接观察数据；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#4、配置≥4.3英寸高清电容触摸屏与振动警告功能单元，支持多点触摸方式，可通过多点触摸方式选择曲线界面内任意区域的放大缩小；传感器自带滚轮调节键，通过滚轮可调节二氧化碳采集频率；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浊度计传感器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#1、量程：0～400 NTU，分辨率：0.1NTU。用于测量悬浮于水或透明液体中不溶性颗粒物质所产生的散射程度，标示不同悬浊液的浊度。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二氧化硫传感器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#1、量程：0～20ppm，分辨率：0.1ppm。用于检测化学反应中二氧化硫的生成。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一氧化碳传感器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#1、量程：20～1000ppm，分辨率：1ppm。用于测量一氧化碳气体含量。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3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多量程电流传感器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#1、量程1：-2A～+2A、分辨率：0.01A；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#2、量程2：-200mA～+200mA、分辨率：0.1mA；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#3、量程3：-20mA ～+20mA、分辨率：0.01mA ；用于测量电路中的电流。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#4、自带硬件切换按钮，短按可在3种量程间循环切换。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59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数字化探究实验软件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#1、符合最新初中化学教学装备配置标准，满足基础课程、探究性学习、创新实验教学的需求，是教育信息化发展的重要组成部分。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#10、软件可模拟信号发生器，产生2组独立的正弦波或者脉冲波信号；软件可采集音频，具有录音功能和录音播放功能，录音时间可调；软件可录制实验数据采集过程并回放，播放速率可调；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#11、应用平台：WindowsXP、Windows7、Windows8、Windows10、Windows11等。</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#1、手拎式铝合金箱，方便携带。K174铝合金外架，高强度面板，硬海绵内胆，传感器专用嵌槽。含USB连接线，配套实验手册等技术使用资料。</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原电池实验器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研究电解池或者原电池。用于探究化学能可以转化为电能，材料不同的电极活泼的为负极。配合微电流传感器使用。透明亚克力水槽2个、配套盖板2个、锌电极片2个、铜电极片2个、导线和LED灯，电极端材料可以替换。</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B1-20</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酸碱反应热实验器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#1、用于中学化学探究酸碱中和反应过程中热量的测量。配合温度传感器使用。由外隔热桶、内盛液器等组成。</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酸碱中和滴定装置</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探究酸碱中和滴定反应过程中pH值的变化特点，绘制中和滴定曲线，体会定量实验在化学研究中的作用。由滴定计数器（光电门传感器+定位装置），铝杆，针筒，滴定开关，滴定嘴，长尾夹，转接头和铁架台组成，</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磁力搅拌器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生化酸碱中和滴定实验、不同浓度的溶液搅拌、液体混合、组织培养实验。磁力搅拌器主体、电源适配器、磁子组成。通过调节转速旋钮调节速度，无级调速，搅拌速度为每分钟0~1800转。混合效果显著，混合容量1000毫升。工作功率：5W，电源电压：12V。工作台尺寸：130*130mm，外观尺寸：150*200*55mm，净重：0.5kg。</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化学反应速率实验器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探究催化剂对过氧化氢分解的影响、金属与酸反应，生物上酶催化的高效性。结合气压传感器使用。主要由密封反应瓶、泄压组件、螺口注射器组成。装置中设有注射器开关、泄压装置，充分保证了实验的安全性；螺口注射器和带盖密封反应瓶，保证实验器的密封性，大大减少因气体逸散导致的实验误差，更科学严谨。</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多向转接头</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#1、装配组合部件，双向交叉，孔内径适应于标准铁架台，用于连接多种附件及传感器等。</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铁的吸氧腐蚀实验器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化学“铁的吸氧腐蚀实验的探究”及“空气中氧气含量的测定”。由宽径浅口玻璃试管、压强鲁尔接头、多孔橡胶塞组成。通过测量反应过程中温度、压强、氧气含量的变化，探究铁的吸氧腐蚀现象。其中，采用宽径浅口玻璃试管，非普通试管或烧杯，实现增大与氧气反应的接触面积，加快反应速率，缩短反应时间，又易于观察和清洗的功能。</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粉尘爆炸实验器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化学燃烧和灭火实验，用于探究粉尘爆炸的实验原理。可清楚观察到淀粉燃烧和爆炸的全过程，加深学生对燃烧条件的认识，进一步了解灭火原理。由翻盖式保鲜盒（1.3L，长宽高为125×125×100mm，耐高温120℃）、穿板弯头、橡胶管、吹尘球、蜡烛、淀粉、点火枪和防火架组成。</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气液相密封实验器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生化-水陆生植物的光合作用、蒸腾作用，种子的萌发放热，酵母菌的呼吸作用，酶的特性实验。配合温度、湿度、氧气、CO2等传感器使用。由实验盒、实验盖、不同规格的硅胶塞等组成。实验盖开孔，分别为氧气探头孔、二氧化碳探头孔和温度探头孔。</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多功能电极支架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#1、用于中学生化传感器电极的固定夹持，方便实验的操作。由底座、机械臂和电极夹构成。实验室仪器专用电极支架，5孔，可以360度旋转，可以自由伸缩。可以应用于PH计、电导率、离子计等。</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B2、学生端传感器和配套实验器材</w:t>
            </w:r>
            <w:r/>
          </w:p>
        </w:tc>
        <w:tc>
          <w:tcPr>
            <w:tcW w:w="362"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57"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技术参数同“B1-01 便携式实验终端”</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技术参数同“B1-02 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#1、量程：-50℃～250℃，分辨率：0.1℃。不锈钢探针，用于测各种物体或溶液的温度。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89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#1、量程：0～1200°C，分辨率：0.25°C。用于测量物体表面、气体、酸碱等液体的温度，也可用于超高温的测量。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#1、量程：0～700kPa，分辨率：0.1kPa。配有针筒，用于测量大气环境下或密闭空间内的气体的绝对压强。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湿度传感器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#1、量程：0%～100%RH，分辨率：0.05%。用于测量空气的相对湿度。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#1、量程：0～14 pH，分辨率：0.01 PH。用于精确测量溶液的酸碱值。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13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电导率传感器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#1、量程：0～20000μS/cm，分辨率：10μS/cm。用于测量溶液的电导率及其变化。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#1、量程：0%～100%，分辨率：0.025%。用于测量空气中氧气含量变化。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B2-10</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 0～50,000 ppm，分辨率：1 ppm。用于测量空气中二氧化碳含量变化。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浊度计传感器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技术参数同“B1-13 浊度计传感器”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技术参数同“B1-18 铝合金箱及附件”</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酸碱反应热实验器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技术参数同“B1-20 酸碱反应热实验器”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酸碱中和滴定装置</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技术参数同“B1-21 酸碱中和滴定装置”</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磁力搅拌器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技术参数同“B1-22 磁力搅拌器”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化学反应速率实验器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技术参数同“B1-23 化学反应速率实验器”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多向转接头</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技术参数同“B1-24 多向转接头”</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铁的吸氧腐蚀实验器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技术参数同“B1-25 铁的吸氧腐蚀实验器”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多功能电极支架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技术参数同“B1-28 多功能电极支架”</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76"/>
        <w:gridCol w:w="6583"/>
        <w:gridCol w:w="699"/>
        <w:gridCol w:w="739"/>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C-化学考评实验室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C1、实验室基础设备配置</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7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智能考评教学终端</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采用全金属外壳，三拼接平面一体化设计，外观尺寸：宽≥4200mm，高≥1200mm，厚≤120mm；屏幕边缘采用金属圆角包边防护，整机背板采用金属材质，有效屏蔽内部电路器件辐射；防潮耐盐雾蚀锈，适应多种教学环境，整机尺寸不低于86英寸，屏幕采用超高清LED液晶显示屏，显示比例16:9，分辨率3840×2160；屏幕表面采用全物理钢化玻璃，支持防眩光功能，玻璃表面硬度≥9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#2、嵌入式系统版本不低于Android 13，内存≥2GB，存储空间≥8GB；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#3、采用红外触控技术，支持Windows系统和Android系统中进行40点或以上触控；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#4、整机内置2.2声道扬声器，位于设备上边框，顶置朝前发声，前朝向10W高音扬声器2个，上朝向20W中低音扬声器2个，额定总功率60W；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机内置非独立外扩展的8阵列麦克风，采用缝隙发声技术，喇叭采用槽式开口设计，不大于5.8mm，扬声器在100%音量下，可做到1米处声压级≥88db，10米处声压级≥79dB，拾音角度≥180°，可用于对教室环境音频进行采集，拾音距离≥12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#6、整机全通道支持纸质护眼模式，可实现画面纹理的实时调整；支持纸质纹理：牛皮纸、素描纸、宣纸、水彩纸、水纹纸；支持透明度调节；支持色温调节；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#7、整机支持答题功能，学生可通过扫描二维码加入班级，老师设置题型，学生回答后提交，教师查看正确率、详细讲解等；同时支持随机抽选学生、实时弹幕、学生成员管理和导出学生报告等功能；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#8、整机支持发出频率为18kHz-22kHz超声波信号，智能手机通过麦克风接收后，智能手机与整机无需在同一局域网内，可实现配对，一键投屏；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#9、整机支持蓝牙Bluetooth 5.4标准，固件版本号HCI13.0/LMP13.0；Wi-Fi制式支持IEEE 802.11 a/b/g/n/ac/ax；内置双WiFi6无线网卡，Wi-Fi及AP热点支持频段2.4GHz/5GHz；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▲10、整机内置智能摄像头，视场角≥141度且水平视场角≥139度，可拍摄≥1600万像素的照片，支持输出8192×2048分辨率的照片和视频，支持画面畸变矫正功能。同时输出至少 3 路视频流，同时支持课堂远程巡课、课堂教学数据采集、本地画面预览（拍照或视频录制）；</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11、整机支持通过设备内置摄像头获取教室内图像并自动识别图像内所有人员进行随机抽选和班级人数统计；整机摄像头支持人脸识别、清点人数、随机抽人；识别所有学生，显示标记，随机抽选，同时显示标记不少于60人，支持距离摄像头位置≥10米距离的AI识别人脸。</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#12、整机支持提笔书写，在Windows系统下可实现无需点击任意功能入口，当检测到红外笔笔尖接触屏幕时，自动进入书写模式；</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13、整机触摸支持动态压力感应，支持无任何电子功能的普通书写笔在整机上书写或点压时，整机能感应压力变化，书写或点压过程笔迹呈现不同粗细，支持同一支笔，笔头、笔尾书写不同的颜色，且颜色可自定义；</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14、整机Windows通道支持文件传输应用，支持通过扫码、wifi直联、超声三种方式与手机进行连接，实现文件传输功能；接收的文件支持单份删除；接收的文件支持手动全部清空，为防止误清空，全部清空需要经过二次确认；</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#15、设备自带地震预警软件，支持在地震预警页面中获取位置，可以手动进行位置校准；支持在地震预警页面中选择提醒阈值；支持在地震预警界面中开启和关闭地震预警服务；</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▲16、整机设备教学桌面的教师登录账号后，可自动获取并在桌面显示最近使用的教学课件，点击课件可直接进入授课模式；并支持查看所有个人教学课件资源；</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#17、内置模块：OPS模块；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35"/>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考评室教学软件</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#1、教学软件平台需为教师提供可扩展，易于学校管理，安全可靠的云存储空间，支持扩展升级至不小于200G的个人云空间；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#2、教学软件支持一键开课，教师可通过一键开课生成海报，学生可通过扫描海报微信二维码加入直播课堂，无需额外安装APP；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教学软件的直播功能可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#4、支持在微课录制、编辑中插入图片、视频、答题板、课堂活动，增加微课互动性和趣味性；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提供互动式教学课件资源，包含学科教育各学段各地区教材版本如苏教版等学科教学全部教学章节、专题教育多个主题教育、特殊教育三大分类的交互式课件。课件支持直接预览并免费下载，下载时课件可同步至教师个人云课件存储空间；课件支持教师在线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#6、教学软件中自带云教案功能，与云课件可一对多关联绑定，产生绑定后，在课件页和教案页均支持在同一面板打开关联的云课件或云教案预览，便于老师备课时相互对照；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▲7、AI智能纠错：软件内置AI智能语义分析模块，可对输入的英文文本的拼写、句型、语法进行错误检查，并支持一键纠错；</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8、集体备课功能：研讨发起人在研讨过程中支持在线发起多人语音研讨在线讨论，构建线上多现场同步研讨，研讨内容自动形成语音记录，将音频技术与集体备课、主题研讨等常规教研活动深度融合。支持查看集备研讨中/未研讨中的状态，支持查看参备老师的在线状态，方便参备人员及时参与语音集备，快速了解集备进度；</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#9、可对集中备课中多稿的课件/教案/胶囊进行内容的横向对比，支持批注研讨过程数据对比回溯；</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#10、智能摘要：根据集备研讨内容生成摘要和词云内容，支持参备成员快速掌握集备要点，提高集备效率；</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▲11、电子化听评课：支持在授课模式中发起授课评价，根据课程和评课表生成二维码，评课人通过扫码即可参与评课并获取课件。可查看历史评价记录。支持导出评课报告文档</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#12、直播听评课：支持通过实时音视频技术，将课堂教学现场进行实况直播，实现异地听课、评课，直播听评课结束后生成直播回放；</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25"/>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视频展台</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#1、无锐角无利边设计，有效防止师生碰伤、划伤；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#2、壁挂式安装，防盗防破坏；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#3、展开后托板尺寸≥A4面积，收起时小巧不占空间，高效利用挂墙面积；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#4、采用USB3.0高速接口，单根USB线实现供电、高清数据传输需求；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#5、采用不小于800W像素自动对焦摄像头，可拍摄A4画幅；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#6、可实现一键启动展台画面、画面放大、画面缩小、画面旋转、拍照截图等功能，同时也支持在一体机或电脑上进行同样的操作；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#7、整机自带均光罩LED补光灯，光线不足时可进行亮度补充，亮度均匀；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▲8、产品外壳在摄像头部分带保护镜片密封，防止灰尘沾染摄像头，防护等级达到IP4X或以上；</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#1、学生交流2V到24V输出，电流2A，自动过载保护，自动恢复。电压2V每档，由教师集中控制；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#2、学生直流2V到24V输出，电流2A，自动过载保护，自动恢复。由教师集中控制；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#3、220V国标五孔插座，保险丝保护，工作指示；</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#1、DN25mm阻燃线管；2.5平方国标线材，符合国家标准；                                                                        </w:t>
            </w:r>
            <w:r>
              <w:rPr>
                <w:rFonts w:hint="eastAsia" w:ascii="宋体" w:hAnsi="宋体" w:eastAsia="宋体" w:cs="宋体"/>
                <w:i w:val="0"/>
                <w:iCs w:val="0"/>
                <w:color w:val="000000"/>
                <w:sz w:val="21"/>
                <w:szCs w:val="21"/>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#1、ф32、ф25、ф20；DN75、DN50；                                                                      </w:t>
            </w:r>
            <w:r>
              <w:rPr>
                <w:rFonts w:hint="eastAsia" w:ascii="宋体" w:hAnsi="宋体" w:eastAsia="宋体" w:cs="宋体"/>
                <w:i w:val="0"/>
                <w:iCs w:val="0"/>
                <w:color w:val="000000"/>
                <w:sz w:val="21"/>
                <w:szCs w:val="21"/>
                <w:u w:val="none"/>
                <w:lang w:val="en-US" w:eastAsia="zh-CN" w:bidi="ar"/>
              </w:rPr>
              <w:t xml:space="preserve">                                                                                                                                                                                                                #2、给水：采用PPR复合管敷设；排水：使用国标优质UPVC专用排水管；            </w:t>
            </w:r>
            <w:r>
              <w:rPr>
                <w:rFonts w:hint="eastAsia" w:ascii="宋体" w:hAnsi="宋体" w:eastAsia="宋体" w:cs="宋体"/>
                <w:i w:val="0"/>
                <w:iCs w:val="0"/>
                <w:color w:val="000000"/>
                <w:sz w:val="21"/>
                <w:szCs w:val="21"/>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万向吸风罩</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技术参数同“A4-01 万向吸风罩”</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室内通风系统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技术参数同“A4-02 室内通风系统”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室外通风系统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技术参数同“A4-03 室外通风系统”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技术参数同“A4-04 风机”</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变频器</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技术参数同“A4-05 变频器”</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消音器</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技术参数同“A4-06 消音器”</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风机软连接</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技术参数同“A4-07 风机软连接”</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风机控制线</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技术参数同“A4-08 风机控制线”</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互动分屏”</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C2、智能控制系统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C3、顶部集成供给系统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C3-06</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C4、实验室信息化系统相关配置及配套服务</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45"/>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#1、一体化设计终端，整机由≥2个摄像头、≥1块触摸屏、≥1个底座组成，整机没有任何外露线材；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#2、终端可根据需要固定在桌面也可便携移动；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#3、能实时视频采集考生考试过程，视频数据自动存储到本机，并自动传输至上一级存储设备上；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#4、处理器≥6核心，主频≥1.8GHz；内存≥4G，存储空间≥32GB；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▲5、设备应具有≥11.5英寸触摸屏，分辨率≥1920*1080，正面屏占比≥75%，支持翻转角度≥150°，并可以在可活动范围任意角度悬停；</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（提供具有CMA标识的第三方检测机构出具的检测报告原件扫描件或产品白皮书或官网截图）</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▲6、具有≥1个USB2.0接口，≥1个USB3.0接口；具有≥1个HDMI接口，可以输出≥1路1080P视频信号,用于拓展显示屏画面；具有≥1个Type-C接口，可以用于调试模式；</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（提供具有CMA标识的第三方检测机构出具的检测报告原件扫描件或产品白皮书或官网截图）</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7、具有≥1个航空接口,具有螺纹锁紧设计，采用≥6P航空头设计，可以输出≥12V供电，可以外接网络云台摄像机，支持控制外接带机械云台的网络摄像机，在本机上可以通过触屏对机械云台摄像机进行放大、缩小、聚焦控制、“上、下、左、右”控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▲8、视频采集：≥2路摄像头，每路摄像头均≥450万像素，每路摄像头均支持但不限于2880*1620、2560*1440、1920*1080等分辨率，支持多码流传输，视频帧率≥25 帧/秒，支持H.264/H.265视频压缩编码，支持本地存储或本地视频汇聚与缓存功能；</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（提供具有CMA标识的第三方检测机构出具的检测报告原件扫描件或产品白皮书或官网截图）</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9、俯视角摄像头支架可调节，覆盖整个实验台操作区域；俯视角摄像头支持从上往下拍摄，具有≥2个转动轴，可通过转动轴完成拍摄角度和高度的调整，每个转动轴均具有阻尼设计，角度调整完成后，可保持固定角度和高度拍摄，便于快捷调节俯视角摄像头到位；</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#10、正视角摄像头支架可调节，可以在垂直桌面的方向进行上下滑动，可调整垂直高度，上下滑动时整机设备的总高度不变，可调范围≥10cm，可调范围具有明确的刻度标识，可以在可活动范围内任意位置悬停；</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#11、满足考试视频录制和传输性能要求；可支持无线 WIFI，满足教学场景灵活应用；</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#12、POE特性：具有≥100Mbps的以太网端口，支持POE供电，可通过POE网线支撑整机（包括内置操作系统、摄像头、触摸屏）的供电和供网；</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13、独立式网络相机设计：终端的每路摄像头均具有独立的IP地址，均能提供独立的IP网络视频流供第三方监控系统调用，支持标准RTSP、ONVIF协议；当终端软件停止运行时，监考端、服务器以及第三方NVR依然可正常获取摄像头的视频画面，确保录制安全性；</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#14、供电：具有220V转DC持续供电，支持POE供电；</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15、本地录制及批注：支持本机视频录制，与其他端的视频录制功能互不影响，即使在断网或服务器故障的情况下也能正常使用；支持在本机视频录制过程中进行书写批注，批注方式多样，包括但不限于手写、方框、箭头、圆圈等，可以调整批注笔触的粗细、颜色，批注完成后可以截图保存；提供文件管理页面，方便查看所有录制的视频和批注截图；</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#16、双向互动批注：支持在教室的大屏一体机上观看本机实时直播画面和实时批注；同时支持在大屏一体机上进行反向批注，本机上也能实时看到反向批注的内容；</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#17、直播调试：支持生成1个直播间二维码，可通过手机微信扫码进入直播间；直播过程中，可在≥2个本机的摄像头之间任意选择一个摄像头作为直播画面，并且切换画面后直播不会中断。</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5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#1、软件架构：采用C/S客户端或B/S架构设计，与考室监考端的通讯地址绑定，修改绑定的监考端通讯地址后，系统能自动接收考室的信息；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#2、跨网通信：终端软件只与考室监考端通信，不与考试管理系统进行通信，实现网络隔离，可以通过监考端转发信息实现视频录制；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#3、IP配置：支持通过DHCP配置自动获取IP，支持手动配置固定IP；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#4、网络连接方式：支持有线或无线连接；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#5、多类视频接入：支持接入USB摄像机、网络摄像机，可支持≥1080P；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#6、外接设备设置：支持接入数码显微镜、电子目镜；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#7、快速备换：当有设备发生故障时，备用终端仅需改动座位号即可快速替换使用，其他配置无需改动；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#8、状态上报：不间断向上级平台上报自身运行状态，包括：IP地址、磁盘使用率、版本号、座位号等；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#9、模式切换：拥有考试模式、练习模式，用户可在不同模式之间自由切换，但是以监考端的统一指令为最高优先级指令；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#10、屏幕录制：支持在考试时自动开启后台屏幕录制，对终端的屏幕所显示的画面进行录制并保存为MP4文件；屏幕录制功能不受软件崩溃影响，当终端软件停止运行时，也应能继续录制；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#11、每一批次考试开始之前（考生入座时），可以全屏显示座位号，便于考生进入考室后快速定位考试座位号；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#12、支持触屏操作，考生可以核对考生信息（如考生姓名、考号等），并检查摄像头状态；软件可以在本地录制的同时生成直播视频流供监考端录制，即使校级平台或监考端停止运行，也不影响本机录制；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考试过程中实时显示日期、考试科目、姓名和考试题目；当考试强制限定了考试时长的情况下，支持显示当前场次考试剩余时间，并在考试剩余时间归零时自动停止作答并提交；当考试未强制限定考试时长的情况下，支持显示当前场次考试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#14、生物考试时，终端屏幕可以显示显微镜画面，考生可以对显微镜画面进行截图保存，截图后支持对截图图片进行涂鸦和编辑，以便于生物考试评分；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#15、使用纸质试卷时，支持调用摄像头进行试卷拍照，可拍摄多张照片，考试结束后照片自动上传至校级平台，阅卷时可进行查看；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#16、使用电子试卷时，提供电子答题卡供考生作答，考生可以在屏幕上进行编辑作答，交卷后，系统自动保存答题卡；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#17、练习模式：在练习模式下，学生只能观看自己的画面，不能进行其他操作；软件会提示当前的录制状态，方便学生了解老师是否已开启录制。</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#1、WAN接口：≥1个10/100/1000Base-T电口；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#2、LAN接口：≥2个10/100/1000Base-T电口；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#3、无线速率：≥3000 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#4、无线协议：支持WIFI 6。</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38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#1、支持练习模式、考试模式，老师可选择任意一种模式，系统能自动控制下属所有终端进入对应模式；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C/S客户端或B/S架构设计，具有调取、显示考场内所有考生终端视频信息的功能，可同时监看包括但不限于24名、12名、6名考生的≥2个操作画面，可同时显示≥48路学生操作画面；支持开始和结束考试、座位号打印、试卷上传管理、视频上传管理、视频MD5上传管理等常用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#3、能够处理数据中心与终端之间的数据交换；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#4、当到达指定考试时间时，系统将自动强制所有终端退出原有模式并进入考试模式，且不允许自由退出；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#5、考试时支持自动轮巡，支持手动和自动翻页显示考生画面；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#6、可实现视频实时监看，同步查看学生实验操作过程，观看延时≤0.5秒；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#7、支持调节监看窗口的数量，可以选择只看主画面或只看副画面，也可以选择同时监看主画面和副画面；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#8、空间不足提醒：当终端空间不足时，系统能提前自动发出提醒，避免录制失败；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#9、电子目镜状态提醒：在生物考试时，如果终端的电子目镜或电子显微镜的接入状态出现异常，系统能自动发出提醒，以避免事故发生；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#10、连接状态提醒：当终端的网络连接状态丢失或异常时，系统能自动提醒，以便及时排查故障，避免事故发生；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#11、进行系统配置时，支持自动获取终端摄像头的视频画面；当考位使用第三方终端时，支持手动配置每个座位的视频流，系统能直接从摄像头拉取RTSP视频流并进行录制；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智能排题：可以在监考端软件中设置所在教室的座位排列方式（包括行数和列数）；开考前，系统会自动为每个座位分配题目，确保每个座位前后左右的题目不冲突，并支持在监考端进行微调，方便管理员提前安排实验器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#13、设备管控：可以统一管理终端，包括远程关闭、查看软件版本和在线状态，支持远程升级、重启、清理磁盘空间等批量操作；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#14、在开考前，可对故障座位进行快速更换；支持更换终端，选择故障座位并更换至备用座位；更换后，信息将自动同步到备用座位，无需重新设置终端的座位号；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#15、在开考前，系统将检测终端的剩余硬盘空间；当检测到空间不足时，会弹出提示窗口，提醒监考老师进行磁盘数据清理；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服务自检：支持一键检测当前监考端的运行环境，可检测包括但不限于终端软件版本、校级平台版本、监考端CPU、内存、硬盘、时间同步、录制服务、消息服务、存储服务、校级平台的连接状态等，以便及时发现考试监考端的软硬件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#17、考试状态：支持监考界面显示每个座位考生的考试状态，包括人工核验、提前交卷、考生报错、取消考试、现场评分提交情况等，每个状态可以显示为不同色块，便于监考老师快速定位异常；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人工核验：当考试登录方式设置为刷脸登录时，若终端已配备人脸识别摄像头，软件可调用人脸识别摄像头进行刷脸登录；如果考生在考位上刷脸登录失败，可以将现场考生照片发送到监考端，在监考界面进行人工比对核验；通过核验后，考生可以继续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#19、突发事故处理：考试时，如出现作弊、设备故障等各类突发情况，可以在监考端上取消某个考生的本场考试；若选择安排补考，可直接在校级平台上进行补考安排；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#20、信息查核：系统可以监看考试视频，并将每个考生的视频与考生信息（包括姓名、准考证号、座位号）同步显示，方便监考老师核对考生信息；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#21、倒计时：在定时定点模式下，系统能显示当前考试的名称和考室信息，并显示考试结束倒计时；在考试准备过程中，系统还可以显示下一场考试的开始倒计时；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#22、考情统计：可以统计并显示当前批次考试的评分提交情况、显微镜截图提交情况以及电子试卷填写提交情况；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#23、考试控制：当考试方式为定点不定时或随到随考时，监考老师可以根据考室情况控制考试的开启与结束；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#24、延长考试：当考试设置了继续考试时长后，到达预设的考试时间时，系统将提示用户是否延长考试；如果选择延长考试，考生可以继续作答；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#25、语音播报：支持语音播报功能，可通过连接的音响设备进行语音播报，方便宣读考试注意事项，可根据现场情况选择不同的语音包进行播放，支持在后台上传和管理相关语音包；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#26、录制异常提醒：系统支持实时反馈考室内所有终端的录制状态，并显示录制异常的原因，便于及时发现问题；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#27、考试视频可以在监考端上备份存储，并支持对存储的视频进行批量统一管理；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#28、记录实验操作过程并生成视频文件，支持传输至校平台服务端；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#29、录制的视频文件格式满足H.264或以上格式，可以在大部分播放器中直接播放；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#30、支持全局统计每个批次考生的各类数据上传情况，包括视频数据、显微镜截图数据和实验报告等；对于未上传的数据，支持从终端补传至监考端；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#31、视频上传管理：可设定同时上传至校级服务器的视频数量，并限制上传带宽，以减少资源占用，确保考试顺利进行；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提供练习模式入口和正式考试管理功能，并对不同类型考试显示不同的考试信息；进入练习模式后，可以进行课堂练习，直接进行终端录制，并可自定义录制时间；录制完成后，可以编辑本次练习的名称，支持点播回看录制内容。</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#1、端口：≥24个自适应10/100/1000M以太网端口，≥4个千兆光口；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#2、网络性能：交换容量≥300GB，包转发率≥90Mpps；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#3、以太网功能：支持端口聚合、端口镜像、静态镜像、VLAN；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#4、支持POE供电，最大输出功率≥370W；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 CLI命令行，Web 网管，TELNET支持 iMC 智能管理中心</w:t>
            </w:r>
            <w:r>
              <w:rPr>
                <w:rFonts w:hint="eastAsia" w:ascii="宋体" w:hAnsi="宋体" w:eastAsia="宋体" w:cs="宋体"/>
                <w:i w:val="0"/>
                <w:iCs w:val="0"/>
                <w:color w:val="000000"/>
                <w:sz w:val="21"/>
                <w:szCs w:val="21"/>
                <w:highlight w:val="none"/>
                <w:u w:val="none"/>
                <w:lang w:val="en-US" w:eastAsia="zh-CN" w:bidi="ar"/>
              </w:rPr>
              <w:t xml:space="preserve">、Open View 等通用网管平台；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#6、ARP入侵检测：支持ARP入侵检测功能、IP Source Guard 特性、DHCP Snooping 特性；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#7、安全口令：支持可控 IP 地址的 FTP 登录和口令机制；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 IPv6 静态路由、双协议栈，支持 DHCPv6 Client、DHCPv6 Snooping。</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#1、机柜，高度≥18U,深度≥600MM；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#2、要求配置≥1把风扇，≥1个6位PDU；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#3、立柱间距：标准19英寸，可放置考场UPS、交换机、路由器等设备；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#4、门：前后六角孔或玻璃门。</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3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#1、铝合金外壳材质，表面阳极化处理；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1/3.2”，像素≥1100万；分辨率支持≥3840x3032@15帧，向下兼容3840*2160@15帧和1920*1080@30帧等常见规格；显微镜调节清晰后，直接接入电子目镜即可拍摄清晰画面，无需二次调焦；拍摄画面与肉眼通过光学目镜观察一致，边缘是黑色，中间的可观测区域是圆形，不存在过度放大；</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#3、传输协议：支持但不限于MJPEG图像格式；</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#4、支持自动曝光、自动白平衡；</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#5、传输接口：通用型USB2.0；</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#6、线缆：采用防屏蔽线缆连接，有效避免输出画面干扰。</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#1、支持poe供电网络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#2、监控高清摄像机镜头焦距≤2.8mm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#3、≥100M 以太网端口</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#1、辅材：含教室内内配电箱主电源接入（主线≥国标6mm²*3电线）；每个学生座位分别≥1个二三插面板（≥国标1.5mm²*3电线）以及≥1个单口网络面板（≥六类网线）等必要配件；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#2、综合布线：采用开槽、吊顶或线槽的布线方式，如若开槽完成后需对施工面进行复原；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#3、安装调试：包含考场内所有设备的卸货、安装、调试工作。</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83"/>
        <w:gridCol w:w="6535"/>
        <w:gridCol w:w="695"/>
        <w:gridCol w:w="784"/>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D-56座物理智能吊装实验室</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W w:w="42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D1、实验室基础设备配置</w:t>
            </w:r>
            <w:r/>
          </w:p>
        </w:tc>
        <w:tc>
          <w:tcPr>
            <w:tcW w:w="34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D1-04</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技术参数同“A1-02 教师总控电源”</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D1-05</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技术参数同“A1-10 教师椅”</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D1-06</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技术参数同“A1-03 实验桌”</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D1-07</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D1-08</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D1-09</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D1-10</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D1-12</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D1-13</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D1-14</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D1-15</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D1-16</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互动电视机”</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tcW w:w="42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D2、智能控制系统</w:t>
            </w:r>
            <w:r/>
          </w:p>
        </w:tc>
        <w:tc>
          <w:tcPr>
            <w:tcW w:w="34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D2-01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技术参数同“A2-01 智能系统控制箱”</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D2-02</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技术参数同“A2-02 智能控制屏”</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D2-03</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吊装控制系统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技术参数同“A2-03 吊装控制系统”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D2-04</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技术参数同“A2-04 温湿度探测系统”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W w:w="42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D3、顶部集成供给系统</w:t>
            </w:r>
            <w:r/>
          </w:p>
        </w:tc>
        <w:tc>
          <w:tcPr>
            <w:tcW w:w="34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技术参数同“A3-01 吊装主体框架”</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D3-02</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技术参数同“A3-02 主体保护罩”</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D3-03</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技术参数同“A3-03 吊装端头”</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D3-04</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技术参数同“A3-04 智能摇臂升降系统”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D3-05</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技术参数同“A3-05 集成功能模块”</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D3-06</w:t>
            </w:r>
            <w:r/>
          </w:p>
        </w:tc>
        <w:tc>
          <w:tcPr>
            <w:tcW w:w="594"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9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9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D3-07</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技术参数同“A3-07 保险模块”</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D3-08</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技术参数同“A3-08 急停装置”</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D3-09</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D3-10</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D3-11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D3-12</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技术参数同“A3-16 学生端分组控制系统”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D3-13</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技术参数同“A3-17 系统安装辅件”</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W w:w="42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D4、文宣装修</w:t>
            </w:r>
            <w:r/>
          </w:p>
        </w:tc>
        <w:tc>
          <w:tcPr>
            <w:tcW w:w="34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D4-01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W w:w="34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185"/>
        <w:gridCol w:w="6509"/>
        <w:gridCol w:w="697"/>
        <w:gridCol w:w="800"/>
      </w:tblGrid>
      <w:tr>
        <w:trPr>
          <w:trHeight w:val="42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E、物理数字化探究</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2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W w:w="42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E1、教师端演示性传感器和配套实验器材</w:t>
            </w:r>
            <w:r/>
          </w:p>
        </w:tc>
        <w:tc>
          <w:tcPr>
            <w:tcW w:w="350"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9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技术参数同“B1-01 便携式实验终端”</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技术参数同“B1-02 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无线蓝牙模块</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技术参数同“B1-03 无线蓝牙模块”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5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#1、量程：-50N~50N，分辨率：0.01N，用于测拉力（显示正值）和压力（显示负值）。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#2、自带硬件调零按钮，短按自动校零，长按可自动切换力的正负值，节约时间，无需软件内设置公式。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技术参数同“B2-03 温度传感器”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光电门传感器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#1、量程：0~∞s，分辨率：0.001ms。用于测量物体通过光电门的挡光时间以及速度、加速度、动量、动能等。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8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相对压强传感器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#1、量程：±20kPa，分辨率：0.01kPa。用于测量大气环境下被测量空间内的气体的压强差。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分体位移传感器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 0m～2m，分辨率：0.5mm。用于小车运动时速度的测量、用于测量物体间的位移或距离。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发射端和接收端两个部分组成，发射器带有拨动开关，内置锂电池，可充电。实验时，发射端与实验器材组合，接收端与数据采集器或PC连接，通过发射端发射超声波，接收端接收超声波信号，计算转化成位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3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#1、量程1：-2A～+2A、分辨率：0.01A；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#2、量程2：-200mA～+200mA、分辨率：0.1mA；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#3、量程3：-20mA ～+20mA、分辨率：0.01mA ；用于测量电路中的电流。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#4、自带硬件切换按钮，短按可在3种量程间循环切换。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3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#1、量程1：-20V～+20V、分辨率：0.01V；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#2、量程2：-2V～+2V、分辨率：0.001V；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#3、量程3：-0.2V～+0.2V、分辨率：0.0001V；用于测量电路、电器两端的电压。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#4、自带硬件切换按钮，短按可在3种量程间循环切换。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电压电流一体传感器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#1、电压量程：±20V，分辨率：0.01V；电流量程：±2A，分辨率：0.001A；一个传感器可同时测量两种数据。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#2、用于测量电路、电器两端的电压和电流；手持式技术，便于直接观察数据；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#4、配置≥4.3英寸高清电容触摸屏与振动警告功能单元，支持多点触摸方式，可通过多点触摸方式选择曲线界面内任意区域的放大缩小；传感器自带滚轮调节键，通过滚轮可调节电流/电压采集频率；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#1、量程：±50μA，分辨率：0.02μA。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#2、用于测量电路、电器两端的微安数量级的电流；手持式技术，便于直接观察数据；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#4、配置≥4.3英寸高清电容触摸屏与振动警告功能单元，支持多点触摸方式，可通过多点触摸方式选择曲线界面内任意区域的放大缩小；传感器自带滚轮调节键，通过滚轮可调节微电流采集频率；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#1、量程：30～120dB，分辨率：0.1dB。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#2、用于探测声音的强度(dB)；手持式技术，便于直接观察数据；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#4、配置≥4.3英寸高清电容触摸屏与振动警告功能单元，支持多点触摸方式，可通过多点触摸方式选择曲线界面内任意区域的放大缩小；传感器自带滚轮调节键，通过滚轮可调节声强采集频率；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745"/>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声波传感器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#1、量程：20Hz～20,000Hz，分辨率：1Hz。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#2、用于探测声音的波形；手持式技术，便于直接观察数据；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#4、配置≥4.3英寸高清电容触摸屏与振动警告功能单元，支持多点触摸方式，可通过多点触摸方式选择曲线界面内任意区域的放大缩小；传感器自带滚轮调节键，通过滚轮可调节音频采集频率；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#1、量程：-100mT～+100mT，分辨率：0.05mT。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#2、用于测量磁场的磁感应强度；手持式技术，便于直接观察数据；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#4、配置≥4.3英寸高清电容触摸屏与振动警告功能单元，支持多点触摸方式，可通过多点触摸方式选择曲线界面内任意区域的放大缩小；传感器自带滚轮调节键，通过滚轮可调节磁场强度采集频率；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技术参数同“B1-06 气压传感器”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1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数字化探究实验软件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#1、符合最新初中物理教学装备配置标准，满足基础课程、探究性学习、创新实验教学的需求，是教育信息化发展的重要组成部分。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#10、软件可模拟信号发生器，产生2组独立的正弦波或者脉冲波信号；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#11、软件可采集音频，具有录音功能和录音播放功能，录音时间可调；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#12、软件可录制实验数据采集过程并回放，播放速率可调；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#13、应用平台：WindowsXP、Windows7、Windows8、Windows10、Windows11等。</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0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智能数字实验终端</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#1、组成：智能数字实验终端、8路TYPE-C接口、4路USB接口等组成，传感器插头采用双面设计，双向易插易用，且与采集器之间无需有线连接；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#2、无需实体功能按键或触摸笔，需融合数据采集器和内置4.3寸电容触摸屏为一体化设计，为保证产品整体性和性能稳定性，不接受分体拼接模式；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#3、支持曲线、仪表、表格、数字等多种显示方式，并且显示方式之间有一键切换功能；支持多次采样，多曲线显示功能；支持逻辑输出功能；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与计算机或便携式实验终端连接采用USB2.0通讯协议，12路全数字通道，可同时接入12个传感器同时工作；传感器嵌合卡口采用隐藏式智能Type-C接口，数字、模拟共用，传感器可任意热拔插、更换种类、更换位置、同时连接、并行采集、即插即用、实时显示数据、通信快速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置蓝牙通讯模块，可根据实验教学需要，方便有线、无线工作模式切换；①有线通讯方式：在显示屏上点击“usb连接方式”，与计算机或便携实验终端的USB口有线连接进行实验；②无线通讯方式：在显示屏上点击“蓝牙连接方式”，输入“蓝牙地址”，与计算机或便携实验终端无线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内置自定义采样功能，可根据实验教学要求，方便自动、手动采样模式切换；①自动采样模式：在显示屏上设置自动采样频率和时间；②手动采样模式，在显示屏上选择手动模式，采集数据时需手动点击“取值”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#7、内置逻辑指令功能，可设置多种自定义条件时，执行一个或多个蜂鸣器、振动、延时、记录、停止采集等指令，满足复杂数字实验条件下的智能需求；支持新建实验、保存实验、删除实验等功能；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#8、内置大容量可充电锂电池，供室内及户外长时间使用；智能节能模式①：可设置背光亮度，节约能耗；智能节能模式②：一段时间无任何操作，进入熄屏模式，再过一段时间自动关机，节约能耗；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#9、内置TF卡卡槽，最大可支持256GB内存卡；内置蜂鸣器和振动马达，可根据需要执行逻辑指令功能；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#10、支持快速开关机功能，极速启动，即时进入实验界面。</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技术参数同“B1-18 铝合金箱及附件”</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力传感器附件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#1、用于配合力传感器使用，称重组件用于测量物体的质量，压力实验组件用于测量物体的表面压力。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#2、由称重组件和压力实验组件构成。称重组件含托盘和底座，压力实验组件含尖头顶针和平头顶针。</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多用力学轨道</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#1、用于中学物理测量轨道小车运动的位移、速度、加速度、时间等实验，配合力传感器、光电门传感器、位移传感器使用。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1.2m强化铝合金轨道1条、轨道小车2辆、弹簧2条、固定柱2只、50克配重片4片、沙桶1只、挡光片五片（20×2、40、60、80）、摩擦块1块、磁碰片2片、磁碰座架1套、弹性碰圈2只、滑轮1套、小车收纳器1套、轨道倾角调节器1套、T型支撑架1只、塑料I型支架2只、塑料L型挂架2只、铝合金I型支架4只、紧固螺丝件1套。</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作用力与反作用力实验器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#1、用于初中物理力的作用是相互的实验，用于高中物理牛顿第三定律实验。配合2只力传感器使用。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#2、由亚克力底板支架、滑板支架和连接套件构成。可使两个力传感器在同一方向上受力。</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浮力定律实验器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#1、用于初中物理浮力相关实验，探究影响浮力大小的因素，配合力传感器使用，用压差法求得F浮-V图线关系。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无级调节升降台、溢水杯、专用物块、水平杆、十字转接器及塑帽螺栓构成，专用物块由5只相同的铝圆块用细杆连接而成。配合铁架台及力传感器使用，验证浮力定律。升降台采用齿轮式升降结构由下而上移动溢水杯，可改变物块浸入深度，测得不同的F浮数值。</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二力平衡实验器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#1、用于初中物理二力平衡实验。与力传感器配合使用，测量物体运动过程中力的变化情况。与光电门传感器配合，可扩展为同时测量物体运动速度功能。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#2、由匀速运动升降装置、砝码、多向转接头、横杆等组成。匀速运动升降装置内置可充电电池，无需外接电源，Type C充电口，可使用传感器线充电。</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电阻定律实验器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#1、用于中学物理电阻相关实验，探究电阻的材料、长度、横截面积对导体电阻大小的影响。配合电压、电流传感器使用。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#2、由底座和铜、铁、镍铬三种材料的金属丝构成。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焦耳定律实验器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#1、用于初中物理探究电流热效应与电流、电流热效应与电阻的关系实验。用于高中物理焦耳定律实验。配合3个温度传感器使用。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PCB底板、接线柱、调节开关、不同阻值电阻丝和3个透明保温量热器组成。电阻丝对应面板位置有传感器插入孔，与传感器适配性高，配合温度传感器，能定量地反映出电流热效应与电流、导体电阻和通电时间的关系。</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吸热散热实验器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#1、用于探究不同颜色的同一物质的吸热散热性能。配合1～3只温度传感器使用。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#2、由黑色耐高温亚克力双层底座，模拟太阳灯，光源灯泡，三只表面颜色不同、材质相同的实验瓶等组成。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比热容实验器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#1、用于初中物理“比热容实验”“比较不同物质的吸热情况”，用于初高中生物“温室效应”实验。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#2、由加热器、试管*2、试管卡夹、带孔橡胶塞*2、带孔橡胶圈等组件构成。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电磁铁实验器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#1、用于初中物理测量不同匝数相同电流或同一线圈不同电流时线圈产生磁感强度。配合磁场传感器使用。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#2、由底座、不同匝数线圈、铁芯、不同匝数接线柱和磁场探头架组成。可选200匝、400匝和600匝线圈。</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摩擦力实验器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#1、用于中学物理摩擦力实验，研究平面或斜面上不同材质/质量物体的静摩擦力、最大静摩擦力和滑动摩擦力。配合力传感器使用。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#2、由底座、摩擦块、电机、电源适配器、控制开关等组成。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环形线圈</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#1、用于中学物理测量切割地磁场产生的感生电流，也可测不同电器的电磁辐射强度。配合微电流传感器使用。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#2、塑壳封装、带屏蔽、高灵敏度、无源。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匀强螺线管</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#1、用于中学物理研究匀强磁场实验，得出在通电线圈外部及内部的磁场强度大小及分布，产生匀强磁场。配合磁感应强度传感器使用。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电学实验板</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#1、用于中学物理电学多个相关实验。配合电压传感器、电流传感器、微电流传感器使用。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度集成共12块。半波、全波整流、滤波；RC、RL移相；LC振荡；复杂电路分析；测量电池的电动势和内阻；分压、限流；恒压源、恒流源；双稳态、多谐振荡；简单门电路；串并联及电容充放电；描绘小灯泡的伏安特性曲线等。</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玻璃导电实验器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#1、用于中学物理探究玻璃常温/熔融状态的导电规律。配合微电流传感器使用。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#2、由底座、专用实验板组成。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温差电流实验器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#1、用于中学物理探究温差发电现象。配合多量程电流传感器使用。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#2、由底座、接线柱、铜铝金属加热杆等组成。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流体压强实验器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#1、用于初中物理流体压强与流速的关系实验，用于伯努利定律的演示和实验探究。配合三只相对压强传感器使用。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#2、由气泵、三节不同粗细的套管、气压接头和支架组成，可清晰显示气流的不同流速对应的气体压强差异。</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56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液体内部压强实验器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#1、用于初中物理探究液体内部压强的存在，以及影响液体内部压强的因素实验，供教师演示和学生实验用。配合气压传感器做定量分析。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#2、由水槽、上下同步轮及旋钮、同步带、刻度尺、透明支撑架、旋转架、硅胶制的橡皮膜套、承压盒、硅胶管、宝塔转接头、传感器鲁尔接头等组成。旋动上部同步旋钮，能使承压盒绕主轴作360°旋转。</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0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金属热膨胀实验器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#1、用于中学物理研究金属的热胀冷缩的规律。配合力传感器使用。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#2、由金属底座、开孔固定杆、两头带接线端的铜丝、活动螺丝钩组成。活动螺丝钩可微调金属丝绷紧程度，加热金属丝时可灵敏</w:t>
            </w:r>
            <w:r>
              <w:rPr>
                <w:rFonts w:hint="eastAsia" w:ascii="宋体" w:hAnsi="宋体" w:cs="宋体"/>
                <w:i w:val="0"/>
                <w:iCs w:val="0"/>
                <w:color w:val="000000"/>
                <w:sz w:val="21"/>
                <w:szCs w:val="21"/>
                <w:u w:val="none"/>
                <w:lang w:val="en-US" w:eastAsia="zh-CN" w:bidi="ar"/>
              </w:rPr>
              <w:t xml:space="preserve">反应</w:t>
            </w:r>
            <w:r>
              <w:rPr>
                <w:rFonts w:hint="eastAsia" w:ascii="宋体" w:hAnsi="宋体" w:eastAsia="宋体" w:cs="宋体"/>
                <w:i w:val="0"/>
                <w:iCs w:val="0"/>
                <w:color w:val="000000"/>
                <w:sz w:val="21"/>
                <w:szCs w:val="21"/>
                <w:u w:val="none"/>
                <w:lang w:val="en-US" w:eastAsia="zh-CN" w:bidi="ar"/>
              </w:rPr>
              <w:t xml:space="preserve">力的变化。</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压缩气体做功实验器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#1、用于中学物理压缩气体做功实验，研究气体压缩或膨胀时温度的变化。配合温度传感器使用。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#2、由底座、橡胶管和注射器组成。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E1-40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摩擦做功实验器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#1、用于中学物理摩擦生热实验，可探究绳子摩擦后金属棒升温，验证机械能转化为内能。配合温度传感器使用。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#2、由铜管、支架、摩擦绳组成。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E1-41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小型材料实验器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#1、用于探究不同的材料在受到相同力的作用下，其形变各不相同，配合力传感器使用。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#2、由亚克力底座支架板、不同材料棍子组成。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E1-42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人体发电实验器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#1、可用于探究原电池的原理，研究人体原电池的发电与哪些因素有关。与电压、电流传感器配合使用。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#2、由底座、多根不同材质的金属棒及固定件构成。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95"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2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E2、学生端传感器和配套实验器材</w:t>
            </w:r>
            <w:r/>
          </w:p>
        </w:tc>
        <w:tc>
          <w:tcPr>
            <w:tcW w:w="350"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99"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技术参数同“B1-01 便携式实验终端”</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技术参数同“B1-02 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技术参数同“E1-04 力传感器”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技术参数同“B2-03 温度传感器”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声波传感器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#1、量程：20Hz～20,000Hz，分辨率：1Hz。用于探测声音的波形。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光电门传感器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技术参数同“E1-06 光电门传感器”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8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#1、量程：±50μA，分辨率：0.02μA。用于测量电路、电器两端的微安数量级的电流。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技术参数同“E1-09 多量程电流传感器”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技术参数同“E1-10 多量程电压传感器”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5"/>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#1、量程：-100mT～+100mT，分辨率：0.05mT。用于测量磁场的磁感应强度。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分体位移传感器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 0m～2m，分辨率：0.5mm。用于小车运动时速度的测量、用于测量物体间的位移或距离。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发射端和接收端两个部分组成，发射器带有拨动开关，内置锂电池，可充电。实验时，发射端与实验器材组合，接收端与数据采集器或PC连接，通过发射端发射超声波，接收端接收超声波信号，计算转化成位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技术参数同“B2-05 气压传感器”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技术参数同“B1-18 铝合金箱及附件”</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多用力学轨道</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技术参数同“E1-21 多用力学轨道”</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浮力定律实验器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技术参数同“E1-23 浮力定律实验器”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二力平衡实验器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技术参数同“E1-24 二力平衡实验器”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焦耳定律实验器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技术参数同“E1-26 焦耳定律实验器”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比热容实验器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技术参数同“E1-28 比热容实验器”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电磁铁实验器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技术参数同“E1-29 电磁铁实验器”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E2-20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摩擦力实验器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技术参数同“E1-30 摩擦力实验器”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E2-21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液体内部压强实验器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技术参数同“E1-37 液体内部压强实验器”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E2-22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摩擦做功实验器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技术参数同“E1-40 摩擦做功实验器”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E2-23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人体发电实验器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技术参数同“E1-42 人体发电实验器”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1125"/>
        <w:gridCol w:w="6420"/>
        <w:gridCol w:w="795"/>
        <w:gridCol w:w="773"/>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7150" cy="152400"/>
                      <wp:effectExtent l="0" t="0" r="0" b="0"/>
                      <wp:wrapNone/>
                      <wp:docPr id="2" name="Picture_197"/>
                      <wp:cNvGraphicFramePr/>
                      <a:graphic xmlns:a="http://schemas.openxmlformats.org/drawingml/2006/main">
                        <a:graphicData uri="http://schemas.openxmlformats.org/drawingml/2006/picture">
                          <pic:pic xmlns:pic="http://schemas.openxmlformats.org/drawingml/2006/picture">
                            <pic:nvPicPr>
                              <pic:cNvPr id="2" name="Picture_19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3" name="Picture_204"/>
                      <wp:cNvGraphicFramePr/>
                      <a:graphic xmlns:a="http://schemas.openxmlformats.org/drawingml/2006/main">
                        <a:graphicData uri="http://schemas.openxmlformats.org/drawingml/2006/picture">
                          <pic:pic xmlns:pic="http://schemas.openxmlformats.org/drawingml/2006/picture">
                            <pic:nvPicPr>
                              <pic:cNvPr id="3" name="Picture_20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57150" cy="152400"/>
                      <wp:effectExtent l="0" t="0" r="0" b="0"/>
                      <wp:wrapNone/>
                      <wp:docPr id="4" name="Picture_204_SpCnt_1"/>
                      <wp:cNvGraphicFramePr/>
                      <a:graphic xmlns:a="http://schemas.openxmlformats.org/drawingml/2006/main">
                        <a:graphicData uri="http://schemas.openxmlformats.org/drawingml/2006/picture">
                          <pic:pic xmlns:pic="http://schemas.openxmlformats.org/drawingml/2006/picture">
                            <pic:nvPicPr>
                              <pic:cNvPr id="4" name="Picture_204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57150" cy="152400"/>
                      <wp:effectExtent l="0" t="0" r="0" b="0"/>
                      <wp:wrapNone/>
                      <wp:docPr id="5" name="Picture_409"/>
                      <wp:cNvGraphicFramePr/>
                      <a:graphic xmlns:a="http://schemas.openxmlformats.org/drawingml/2006/main">
                        <a:graphicData uri="http://schemas.openxmlformats.org/drawingml/2006/picture">
                          <pic:pic xmlns:pic="http://schemas.openxmlformats.org/drawingml/2006/picture">
                            <pic:nvPicPr>
                              <pic:cNvPr id="5" name="Picture_409"/>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57150" cy="152400"/>
                      <wp:effectExtent l="0" t="0" r="0" b="0"/>
                      <wp:wrapNone/>
                      <wp:docPr id="6" name="Picture_409_SpCnt_1"/>
                      <wp:cNvGraphicFramePr/>
                      <a:graphic xmlns:a="http://schemas.openxmlformats.org/drawingml/2006/main">
                        <a:graphicData uri="http://schemas.openxmlformats.org/drawingml/2006/picture">
                          <pic:pic xmlns:pic="http://schemas.openxmlformats.org/drawingml/2006/picture">
                            <pic:nvPicPr>
                              <pic:cNvPr id="6" name="Picture_409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7150" cy="147955"/>
                      <wp:effectExtent l="0" t="0" r="0" b="0"/>
                      <wp:wrapNone/>
                      <wp:docPr id="7" name="Picture_409_SpCnt_2"/>
                      <wp:cNvGraphicFramePr/>
                      <a:graphic xmlns:a="http://schemas.openxmlformats.org/drawingml/2006/main">
                        <a:graphicData uri="http://schemas.openxmlformats.org/drawingml/2006/picture">
                          <pic:pic xmlns:pic="http://schemas.openxmlformats.org/drawingml/2006/picture">
                            <pic:nvPicPr>
                              <pic:cNvPr id="7" name="Picture_409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57150" cy="147955"/>
                      <wp:effectExtent l="0" t="0" r="0" b="0"/>
                      <wp:wrapNone/>
                      <wp:docPr id="8" name="Picture_408"/>
                      <wp:cNvGraphicFramePr/>
                      <a:graphic xmlns:a="http://schemas.openxmlformats.org/drawingml/2006/main">
                        <a:graphicData uri="http://schemas.openxmlformats.org/drawingml/2006/picture">
                          <pic:pic xmlns:pic="http://schemas.openxmlformats.org/drawingml/2006/picture">
                            <pic:nvPicPr>
                              <pic:cNvPr id="8" name="Picture_40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57150" cy="152400"/>
                      <wp:effectExtent l="0" t="0" r="0" b="0"/>
                      <wp:wrapNone/>
                      <wp:docPr id="9" name="Picture_408_SpCnt_1"/>
                      <wp:cNvGraphicFramePr/>
                      <a:graphic xmlns:a="http://schemas.openxmlformats.org/drawingml/2006/main">
                        <a:graphicData uri="http://schemas.openxmlformats.org/drawingml/2006/picture">
                          <pic:pic xmlns:pic="http://schemas.openxmlformats.org/drawingml/2006/picture">
                            <pic:nvPicPr>
                              <pic:cNvPr id="9" name="Picture_408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643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57150" cy="147955"/>
                      <wp:effectExtent l="0" t="0" r="0" b="0"/>
                      <wp:wrapNone/>
                      <wp:docPr id="10" name="Picture_407"/>
                      <wp:cNvGraphicFramePr/>
                      <a:graphic xmlns:a="http://schemas.openxmlformats.org/drawingml/2006/main">
                        <a:graphicData uri="http://schemas.openxmlformats.org/drawingml/2006/picture">
                          <pic:pic xmlns:pic="http://schemas.openxmlformats.org/drawingml/2006/picture">
                            <pic:nvPicPr>
                              <pic:cNvPr id="10" name="Picture_40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745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57150" cy="147955"/>
                      <wp:effectExtent l="0" t="0" r="0" b="0"/>
                      <wp:wrapNone/>
                      <wp:docPr id="11" name="Picture_248"/>
                      <wp:cNvGraphicFramePr/>
                      <a:graphic xmlns:a="http://schemas.openxmlformats.org/drawingml/2006/main">
                        <a:graphicData uri="http://schemas.openxmlformats.org/drawingml/2006/picture">
                          <pic:pic xmlns:pic="http://schemas.openxmlformats.org/drawingml/2006/picture">
                            <pic:nvPicPr>
                              <pic:cNvPr id="11" name="Picture_24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84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57150" cy="152400"/>
                      <wp:effectExtent l="0" t="0" r="0" b="0"/>
                      <wp:wrapNone/>
                      <wp:docPr id="12" name="Picture_408_SpCnt_2"/>
                      <wp:cNvGraphicFramePr/>
                      <a:graphic xmlns:a="http://schemas.openxmlformats.org/drawingml/2006/main">
                        <a:graphicData uri="http://schemas.openxmlformats.org/drawingml/2006/picture">
                          <pic:pic xmlns:pic="http://schemas.openxmlformats.org/drawingml/2006/picture">
                            <pic:nvPicPr>
                              <pic:cNvPr id="12" name="Picture_408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950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57150" cy="152400"/>
                      <wp:effectExtent l="0" t="0" r="0" b="0"/>
                      <wp:wrapNone/>
                      <wp:docPr id="13" name="Picture_407_SpCnt_1"/>
                      <wp:cNvGraphicFramePr/>
                      <a:graphic xmlns:a="http://schemas.openxmlformats.org/drawingml/2006/main">
                        <a:graphicData uri="http://schemas.openxmlformats.org/drawingml/2006/picture">
                          <pic:pic xmlns:pic="http://schemas.openxmlformats.org/drawingml/2006/picture">
                            <pic:nvPicPr>
                              <pic:cNvPr id="13" name="Picture_407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052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57150" cy="147955"/>
                      <wp:effectExtent l="0" t="0" r="0" b="0"/>
                      <wp:wrapNone/>
                      <wp:docPr id="14" name="Picture_247"/>
                      <wp:cNvGraphicFramePr/>
                      <a:graphic xmlns:a="http://schemas.openxmlformats.org/drawingml/2006/main">
                        <a:graphicData uri="http://schemas.openxmlformats.org/drawingml/2006/picture">
                          <pic:pic xmlns:pic="http://schemas.openxmlformats.org/drawingml/2006/picture">
                            <pic:nvPicPr>
                              <pic:cNvPr id="14" name="Picture_24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15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57150" cy="147955"/>
                      <wp:effectExtent l="0" t="0" r="0" b="0"/>
                      <wp:wrapNone/>
                      <wp:docPr id="15" name="Picture_246"/>
                      <wp:cNvGraphicFramePr/>
                      <a:graphic xmlns:a="http://schemas.openxmlformats.org/drawingml/2006/main">
                        <a:graphicData uri="http://schemas.openxmlformats.org/drawingml/2006/picture">
                          <pic:pic xmlns:pic="http://schemas.openxmlformats.org/drawingml/2006/picture">
                            <pic:nvPicPr>
                              <pic:cNvPr id="15" name="Picture_246"/>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57150" cy="152400"/>
                      <wp:effectExtent l="0" t="0" r="0" b="0"/>
                      <wp:wrapNone/>
                      <wp:docPr id="16" name="Picture_248_SpCnt_1"/>
                      <wp:cNvGraphicFramePr/>
                      <a:graphic xmlns:a="http://schemas.openxmlformats.org/drawingml/2006/main">
                        <a:graphicData uri="http://schemas.openxmlformats.org/drawingml/2006/picture">
                          <pic:pic xmlns:pic="http://schemas.openxmlformats.org/drawingml/2006/picture">
                            <pic:nvPicPr>
                              <pic:cNvPr id="16" name="Picture_248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360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57150" cy="147955"/>
                      <wp:effectExtent l="0" t="0" r="0" b="0"/>
                      <wp:wrapNone/>
                      <wp:docPr id="17" name="Picture_245"/>
                      <wp:cNvGraphicFramePr/>
                      <a:graphic xmlns:a="http://schemas.openxmlformats.org/drawingml/2006/main">
                        <a:graphicData uri="http://schemas.openxmlformats.org/drawingml/2006/picture">
                          <pic:pic xmlns:pic="http://schemas.openxmlformats.org/drawingml/2006/picture">
                            <pic:nvPicPr>
                              <pic:cNvPr id="17" name="Picture_24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57150" cy="147955"/>
                      <wp:effectExtent l="0" t="0" r="0" b="0"/>
                      <wp:wrapNone/>
                      <wp:docPr id="18" name="Picture_205"/>
                      <wp:cNvGraphicFramePr/>
                      <a:graphic xmlns:a="http://schemas.openxmlformats.org/drawingml/2006/main">
                        <a:graphicData uri="http://schemas.openxmlformats.org/drawingml/2006/picture">
                          <pic:pic xmlns:pic="http://schemas.openxmlformats.org/drawingml/2006/picture">
                            <pic:nvPicPr>
                              <pic:cNvPr id="18" name="Picture_20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56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57150" cy="152400"/>
                      <wp:effectExtent l="0" t="0" r="0" b="0"/>
                      <wp:wrapNone/>
                      <wp:docPr id="19" name="Picture_200"/>
                      <wp:cNvGraphicFramePr/>
                      <a:graphic xmlns:a="http://schemas.openxmlformats.org/drawingml/2006/main">
                        <a:graphicData uri="http://schemas.openxmlformats.org/drawingml/2006/picture">
                          <pic:pic xmlns:pic="http://schemas.openxmlformats.org/drawingml/2006/picture">
                            <pic:nvPicPr>
                              <pic:cNvPr id="19" name="Picture_200"/>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667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57150" cy="152400"/>
                      <wp:effectExtent l="0" t="0" r="0" b="0"/>
                      <wp:wrapNone/>
                      <wp:docPr id="20" name="Picture_407_SpCnt_2"/>
                      <wp:cNvGraphicFramePr/>
                      <a:graphic xmlns:a="http://schemas.openxmlformats.org/drawingml/2006/main">
                        <a:graphicData uri="http://schemas.openxmlformats.org/drawingml/2006/picture">
                          <pic:pic xmlns:pic="http://schemas.openxmlformats.org/drawingml/2006/picture">
                            <pic:nvPicPr>
                              <pic:cNvPr id="20" name="Picture_407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769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57150" cy="152400"/>
                      <wp:effectExtent l="0" t="0" r="0" b="0"/>
                      <wp:wrapNone/>
                      <wp:docPr id="21" name="Picture_247_SpCnt_1"/>
                      <wp:cNvGraphicFramePr/>
                      <a:graphic xmlns:a="http://schemas.openxmlformats.org/drawingml/2006/main">
                        <a:graphicData uri="http://schemas.openxmlformats.org/drawingml/2006/picture">
                          <pic:pic xmlns:pic="http://schemas.openxmlformats.org/drawingml/2006/picture">
                            <pic:nvPicPr>
                              <pic:cNvPr id="21" name="Picture_247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57150" cy="147955"/>
                      <wp:effectExtent l="0" t="0" r="0" b="0"/>
                      <wp:wrapNone/>
                      <wp:docPr id="22" name="Picture_204_SpCnt_2"/>
                      <wp:cNvGraphicFramePr/>
                      <a:graphic xmlns:a="http://schemas.openxmlformats.org/drawingml/2006/main">
                        <a:graphicData uri="http://schemas.openxmlformats.org/drawingml/2006/picture">
                          <pic:pic xmlns:pic="http://schemas.openxmlformats.org/drawingml/2006/picture">
                            <pic:nvPicPr>
                              <pic:cNvPr id="22" name="Picture_204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97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57150" cy="147955"/>
                      <wp:effectExtent l="0" t="0" r="0" b="0"/>
                      <wp:wrapNone/>
                      <wp:docPr id="23" name="Picture_200_SpCnt_1"/>
                      <wp:cNvGraphicFramePr/>
                      <a:graphic xmlns:a="http://schemas.openxmlformats.org/drawingml/2006/main">
                        <a:graphicData uri="http://schemas.openxmlformats.org/drawingml/2006/picture">
                          <pic:pic xmlns:pic="http://schemas.openxmlformats.org/drawingml/2006/picture">
                            <pic:nvPicPr>
                              <pic:cNvPr id="23" name="Picture_200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076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57150" cy="152400"/>
                      <wp:effectExtent l="0" t="0" r="0" b="0"/>
                      <wp:wrapNone/>
                      <wp:docPr id="24" name="Picture_246_SpCnt_1"/>
                      <wp:cNvGraphicFramePr/>
                      <a:graphic xmlns:a="http://schemas.openxmlformats.org/drawingml/2006/main">
                        <a:graphicData uri="http://schemas.openxmlformats.org/drawingml/2006/picture">
                          <pic:pic xmlns:pic="http://schemas.openxmlformats.org/drawingml/2006/picture">
                            <pic:nvPicPr>
                              <pic:cNvPr id="24" name="Picture_246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179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57150" cy="147955"/>
                      <wp:effectExtent l="0" t="0" r="0" b="0"/>
                      <wp:wrapNone/>
                      <wp:docPr id="25" name="Picture_197_SpCnt_1"/>
                      <wp:cNvGraphicFramePr/>
                      <a:graphic xmlns:a="http://schemas.openxmlformats.org/drawingml/2006/main">
                        <a:graphicData uri="http://schemas.openxmlformats.org/drawingml/2006/picture">
                          <pic:pic xmlns:pic="http://schemas.openxmlformats.org/drawingml/2006/picture">
                            <pic:nvPicPr>
                              <pic:cNvPr id="25" name="Picture_197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28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57150" cy="147955"/>
                      <wp:effectExtent l="0" t="0" r="0" b="0"/>
                      <wp:wrapNone/>
                      <wp:docPr id="26" name="Picture_205_SpCnt_1"/>
                      <wp:cNvGraphicFramePr/>
                      <a:graphic xmlns:a="http://schemas.openxmlformats.org/drawingml/2006/main">
                        <a:graphicData uri="http://schemas.openxmlformats.org/drawingml/2006/picture">
                          <pic:pic xmlns:pic="http://schemas.openxmlformats.org/drawingml/2006/picture">
                            <pic:nvPicPr>
                              <pic:cNvPr id="26" name="Picture_205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384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57150" cy="152400"/>
                      <wp:effectExtent l="0" t="0" r="0" b="0"/>
                      <wp:wrapNone/>
                      <wp:docPr id="27" name="Picture_248_SpCnt_2"/>
                      <wp:cNvGraphicFramePr/>
                      <a:graphic xmlns:a="http://schemas.openxmlformats.org/drawingml/2006/main">
                        <a:graphicData uri="http://schemas.openxmlformats.org/drawingml/2006/picture">
                          <pic:pic xmlns:pic="http://schemas.openxmlformats.org/drawingml/2006/picture">
                            <pic:nvPicPr>
                              <pic:cNvPr id="27" name="Picture_248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486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57150" cy="152400"/>
                      <wp:effectExtent l="0" t="0" r="0" b="0"/>
                      <wp:wrapNone/>
                      <wp:docPr id="28" name="Picture_245_SpCnt_1"/>
                      <wp:cNvGraphicFramePr/>
                      <a:graphic xmlns:a="http://schemas.openxmlformats.org/drawingml/2006/main">
                        <a:graphicData uri="http://schemas.openxmlformats.org/drawingml/2006/picture">
                          <pic:pic xmlns:pic="http://schemas.openxmlformats.org/drawingml/2006/picture">
                            <pic:nvPicPr>
                              <pic:cNvPr id="28" name="Picture_245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58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57150" cy="147955"/>
                      <wp:effectExtent l="0" t="0" r="0" b="0"/>
                      <wp:wrapNone/>
                      <wp:docPr id="29" name="Picture_204_SpCnt_3"/>
                      <wp:cNvGraphicFramePr/>
                      <a:graphic xmlns:a="http://schemas.openxmlformats.org/drawingml/2006/main">
                        <a:graphicData uri="http://schemas.openxmlformats.org/drawingml/2006/picture">
                          <pic:pic xmlns:pic="http://schemas.openxmlformats.org/drawingml/2006/picture">
                            <pic:nvPicPr>
                              <pic:cNvPr id="29" name="Picture_204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69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57150" cy="147955"/>
                      <wp:effectExtent l="0" t="0" r="0" b="0"/>
                      <wp:wrapNone/>
                      <wp:docPr id="30" name="Picture_200_SpCnt_2"/>
                      <wp:cNvGraphicFramePr/>
                      <a:graphic xmlns:a="http://schemas.openxmlformats.org/drawingml/2006/main">
                        <a:graphicData uri="http://schemas.openxmlformats.org/drawingml/2006/picture">
                          <pic:pic xmlns:pic="http://schemas.openxmlformats.org/drawingml/2006/picture">
                            <pic:nvPicPr>
                              <pic:cNvPr id="30" name="Picture_200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793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57150" cy="152400"/>
                      <wp:effectExtent l="0" t="0" r="0" b="0"/>
                      <wp:wrapNone/>
                      <wp:docPr id="31" name="Picture_205_SpCnt_2"/>
                      <wp:cNvGraphicFramePr/>
                      <a:graphic xmlns:a="http://schemas.openxmlformats.org/drawingml/2006/main">
                        <a:graphicData uri="http://schemas.openxmlformats.org/drawingml/2006/picture">
                          <pic:pic xmlns:pic="http://schemas.openxmlformats.org/drawingml/2006/picture">
                            <pic:nvPicPr>
                              <pic:cNvPr id="31" name="Picture_205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896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57150" cy="147955"/>
                      <wp:effectExtent l="0" t="0" r="0" b="0"/>
                      <wp:wrapNone/>
                      <wp:docPr id="32" name="Picture_197_SpCnt_2"/>
                      <wp:cNvGraphicFramePr/>
                      <a:graphic xmlns:a="http://schemas.openxmlformats.org/drawingml/2006/main">
                        <a:graphicData uri="http://schemas.openxmlformats.org/drawingml/2006/picture">
                          <pic:pic xmlns:pic="http://schemas.openxmlformats.org/drawingml/2006/picture">
                            <pic:nvPicPr>
                              <pic:cNvPr id="32" name="Picture_197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99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57150" cy="147955"/>
                      <wp:effectExtent l="0" t="0" r="0" b="0"/>
                      <wp:wrapNone/>
                      <wp:docPr id="33" name="Picture_410"/>
                      <wp:cNvGraphicFramePr/>
                      <a:graphic xmlns:a="http://schemas.openxmlformats.org/drawingml/2006/main">
                        <a:graphicData uri="http://schemas.openxmlformats.org/drawingml/2006/picture">
                          <pic:pic xmlns:pic="http://schemas.openxmlformats.org/drawingml/2006/picture">
                            <pic:nvPicPr>
                              <pic:cNvPr id="33" name="Picture_4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910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57150" cy="147320"/>
                      <wp:effectExtent l="0" t="0" r="0" b="0"/>
                      <wp:wrapNone/>
                      <wp:docPr id="34" name="Picture_410_SpCnt_1"/>
                      <wp:cNvGraphicFramePr/>
                      <a:graphic xmlns:a="http://schemas.openxmlformats.org/drawingml/2006/main">
                        <a:graphicData uri="http://schemas.openxmlformats.org/drawingml/2006/picture">
                          <pic:pic xmlns:pic="http://schemas.openxmlformats.org/drawingml/2006/picture">
                            <pic:nvPicPr>
                              <pic:cNvPr id="34" name="Picture_410_SpCnt_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9203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57150" cy="152400"/>
                      <wp:effectExtent l="0" t="0" r="0" b="0"/>
                      <wp:wrapNone/>
                      <wp:docPr id="35" name="Picture_200_SpCnt_3"/>
                      <wp:cNvGraphicFramePr/>
                      <a:graphic xmlns:a="http://schemas.openxmlformats.org/drawingml/2006/main">
                        <a:graphicData uri="http://schemas.openxmlformats.org/drawingml/2006/picture">
                          <pic:pic xmlns:pic="http://schemas.openxmlformats.org/drawingml/2006/picture">
                            <pic:nvPicPr>
                              <pic:cNvPr id="35" name="Picture_200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9305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57150" cy="152400"/>
                      <wp:effectExtent l="0" t="0" r="0" b="0"/>
                      <wp:wrapNone/>
                      <wp:docPr id="36" name="Picture_197_SpCnt_3"/>
                      <wp:cNvGraphicFramePr/>
                      <a:graphic xmlns:a="http://schemas.openxmlformats.org/drawingml/2006/main">
                        <a:graphicData uri="http://schemas.openxmlformats.org/drawingml/2006/picture">
                          <pic:pic xmlns:pic="http://schemas.openxmlformats.org/drawingml/2006/picture">
                            <pic:nvPicPr>
                              <pic:cNvPr id="36" name="Picture_197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408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57150" cy="152400"/>
                      <wp:effectExtent l="0" t="0" r="0" b="0"/>
                      <wp:wrapNone/>
                      <wp:docPr id="37" name="Picture_247_SpCnt_2"/>
                      <wp:cNvGraphicFramePr/>
                      <a:graphic xmlns:a="http://schemas.openxmlformats.org/drawingml/2006/main">
                        <a:graphicData uri="http://schemas.openxmlformats.org/drawingml/2006/picture">
                          <pic:pic xmlns:pic="http://schemas.openxmlformats.org/drawingml/2006/picture">
                            <pic:nvPicPr>
                              <pic:cNvPr id="37" name="Picture_247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510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57150" cy="152400"/>
                      <wp:effectExtent l="0" t="0" r="0" b="0"/>
                      <wp:wrapNone/>
                      <wp:docPr id="38" name="Picture_204_SpCnt_4"/>
                      <wp:cNvGraphicFramePr/>
                      <a:graphic xmlns:a="http://schemas.openxmlformats.org/drawingml/2006/main">
                        <a:graphicData uri="http://schemas.openxmlformats.org/drawingml/2006/picture">
                          <pic:pic xmlns:pic="http://schemas.openxmlformats.org/drawingml/2006/picture">
                            <pic:nvPicPr>
                              <pic:cNvPr id="38" name="Picture_204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612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57150" cy="147955"/>
                      <wp:effectExtent l="0" t="0" r="0" b="0"/>
                      <wp:wrapNone/>
                      <wp:docPr id="39" name="Picture_409_SpCnt_3"/>
                      <wp:cNvGraphicFramePr/>
                      <a:graphic xmlns:a="http://schemas.openxmlformats.org/drawingml/2006/main">
                        <a:graphicData uri="http://schemas.openxmlformats.org/drawingml/2006/picture">
                          <pic:pic xmlns:pic="http://schemas.openxmlformats.org/drawingml/2006/picture">
                            <pic:nvPicPr>
                              <pic:cNvPr id="39" name="Picture_409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71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57150" cy="147320"/>
                      <wp:effectExtent l="0" t="0" r="0" b="0"/>
                      <wp:wrapNone/>
                      <wp:docPr id="40" name="Picture_409_SpCnt_4"/>
                      <wp:cNvGraphicFramePr/>
                      <a:graphic xmlns:a="http://schemas.openxmlformats.org/drawingml/2006/main">
                        <a:graphicData uri="http://schemas.openxmlformats.org/drawingml/2006/picture">
                          <pic:pic xmlns:pic="http://schemas.openxmlformats.org/drawingml/2006/picture">
                            <pic:nvPicPr>
                              <pic:cNvPr id="40" name="Picture_409_SpCnt_4"/>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81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57150" cy="147320"/>
                      <wp:effectExtent l="0" t="0" r="0" b="0"/>
                      <wp:wrapNone/>
                      <wp:docPr id="41" name="Picture_408_SpCnt_3"/>
                      <wp:cNvGraphicFramePr/>
                      <a:graphic xmlns:a="http://schemas.openxmlformats.org/drawingml/2006/main">
                        <a:graphicData uri="http://schemas.openxmlformats.org/drawingml/2006/picture">
                          <pic:pic xmlns:pic="http://schemas.openxmlformats.org/drawingml/2006/picture">
                            <pic:nvPicPr>
                              <pic:cNvPr id="41" name="Picture_408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920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57150" cy="147955"/>
                      <wp:effectExtent l="0" t="0" r="0" b="0"/>
                      <wp:wrapNone/>
                      <wp:docPr id="42" name="Picture_408_SpCnt_4"/>
                      <wp:cNvGraphicFramePr/>
                      <a:graphic xmlns:a="http://schemas.openxmlformats.org/drawingml/2006/main">
                        <a:graphicData uri="http://schemas.openxmlformats.org/drawingml/2006/picture">
                          <pic:pic xmlns:pic="http://schemas.openxmlformats.org/drawingml/2006/picture">
                            <pic:nvPicPr>
                              <pic:cNvPr id="42" name="Picture_408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70022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57150" cy="147320"/>
                      <wp:effectExtent l="0" t="0" r="0" b="0"/>
                      <wp:wrapNone/>
                      <wp:docPr id="43" name="Picture_407_SpCnt_3"/>
                      <wp:cNvGraphicFramePr/>
                      <a:graphic xmlns:a="http://schemas.openxmlformats.org/drawingml/2006/main">
                        <a:graphicData uri="http://schemas.openxmlformats.org/drawingml/2006/picture">
                          <pic:pic xmlns:pic="http://schemas.openxmlformats.org/drawingml/2006/picture">
                            <pic:nvPicPr>
                              <pic:cNvPr id="43" name="Picture_407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7012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57150" cy="147320"/>
                      <wp:effectExtent l="0" t="0" r="0" b="0"/>
                      <wp:wrapNone/>
                      <wp:docPr id="44" name="Picture_248_SpCnt_3"/>
                      <wp:cNvGraphicFramePr/>
                      <a:graphic xmlns:a="http://schemas.openxmlformats.org/drawingml/2006/main">
                        <a:graphicData uri="http://schemas.openxmlformats.org/drawingml/2006/picture">
                          <pic:pic xmlns:pic="http://schemas.openxmlformats.org/drawingml/2006/picture">
                            <pic:nvPicPr>
                              <pic:cNvPr id="44" name="Picture_248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0227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57150" cy="152400"/>
                      <wp:effectExtent l="0" t="0" r="0" b="0"/>
                      <wp:wrapNone/>
                      <wp:docPr id="45" name="Picture_200_SpCnt_4"/>
                      <wp:cNvGraphicFramePr/>
                      <a:graphic xmlns:a="http://schemas.openxmlformats.org/drawingml/2006/main">
                        <a:graphicData uri="http://schemas.openxmlformats.org/drawingml/2006/picture">
                          <pic:pic xmlns:pic="http://schemas.openxmlformats.org/drawingml/2006/picture">
                            <pic:nvPicPr>
                              <pic:cNvPr id="45" name="Picture_200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329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57150" cy="147955"/>
                      <wp:effectExtent l="0" t="0" r="0" b="0"/>
                      <wp:wrapNone/>
                      <wp:docPr id="46" name="Picture_407_SpCnt_4"/>
                      <wp:cNvGraphicFramePr/>
                      <a:graphic xmlns:a="http://schemas.openxmlformats.org/drawingml/2006/main">
                        <a:graphicData uri="http://schemas.openxmlformats.org/drawingml/2006/picture">
                          <pic:pic xmlns:pic="http://schemas.openxmlformats.org/drawingml/2006/picture">
                            <pic:nvPicPr>
                              <pic:cNvPr id="46" name="Picture_407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43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57150" cy="147320"/>
                      <wp:effectExtent l="0" t="0" r="0" b="0"/>
                      <wp:wrapNone/>
                      <wp:docPr id="47" name="Picture_247_SpCnt_3"/>
                      <wp:cNvGraphicFramePr/>
                      <a:graphic xmlns:a="http://schemas.openxmlformats.org/drawingml/2006/main">
                        <a:graphicData uri="http://schemas.openxmlformats.org/drawingml/2006/picture">
                          <pic:pic xmlns:pic="http://schemas.openxmlformats.org/drawingml/2006/picture">
                            <pic:nvPicPr>
                              <pic:cNvPr id="47" name="Picture_247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53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57150" cy="147320"/>
                      <wp:effectExtent l="0" t="0" r="0" b="0"/>
                      <wp:wrapNone/>
                      <wp:docPr id="48" name="Picture_246_SpCnt_2"/>
                      <wp:cNvGraphicFramePr/>
                      <a:graphic xmlns:a="http://schemas.openxmlformats.org/drawingml/2006/main">
                        <a:graphicData uri="http://schemas.openxmlformats.org/drawingml/2006/picture">
                          <pic:pic xmlns:pic="http://schemas.openxmlformats.org/drawingml/2006/picture">
                            <pic:nvPicPr>
                              <pic:cNvPr id="48" name="Picture_246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636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57150" cy="147955"/>
                      <wp:effectExtent l="0" t="0" r="0" b="0"/>
                      <wp:wrapNone/>
                      <wp:docPr id="49" name="Picture_248_SpCnt_4"/>
                      <wp:cNvGraphicFramePr/>
                      <a:graphic xmlns:a="http://schemas.openxmlformats.org/drawingml/2006/main">
                        <a:graphicData uri="http://schemas.openxmlformats.org/drawingml/2006/picture">
                          <pic:pic xmlns:pic="http://schemas.openxmlformats.org/drawingml/2006/picture">
                            <pic:nvPicPr>
                              <pic:cNvPr id="49" name="Picture_248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739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57150" cy="147320"/>
                      <wp:effectExtent l="0" t="0" r="0" b="0"/>
                      <wp:wrapNone/>
                      <wp:docPr id="50" name="Picture_245_SpCnt_2"/>
                      <wp:cNvGraphicFramePr/>
                      <a:graphic xmlns:a="http://schemas.openxmlformats.org/drawingml/2006/main">
                        <a:graphicData uri="http://schemas.openxmlformats.org/drawingml/2006/picture">
                          <pic:pic xmlns:pic="http://schemas.openxmlformats.org/drawingml/2006/picture">
                            <pic:nvPicPr>
                              <pic:cNvPr id="50" name="Picture_245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84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57150" cy="147320"/>
                      <wp:effectExtent l="0" t="0" r="0" b="0"/>
                      <wp:wrapNone/>
                      <wp:docPr id="51" name="Picture_205_SpCnt_3"/>
                      <wp:cNvGraphicFramePr/>
                      <a:graphic xmlns:a="http://schemas.openxmlformats.org/drawingml/2006/main">
                        <a:graphicData uri="http://schemas.openxmlformats.org/drawingml/2006/picture">
                          <pic:pic xmlns:pic="http://schemas.openxmlformats.org/drawingml/2006/picture">
                            <pic:nvPicPr>
                              <pic:cNvPr id="51" name="Picture_205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944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57150" cy="152400"/>
                      <wp:effectExtent l="0" t="0" r="0" b="0"/>
                      <wp:wrapNone/>
                      <wp:docPr id="52" name="Picture_246_SpCnt_3"/>
                      <wp:cNvGraphicFramePr/>
                      <a:graphic xmlns:a="http://schemas.openxmlformats.org/drawingml/2006/main">
                        <a:graphicData uri="http://schemas.openxmlformats.org/drawingml/2006/picture">
                          <pic:pic xmlns:pic="http://schemas.openxmlformats.org/drawingml/2006/picture">
                            <pic:nvPicPr>
                              <pic:cNvPr id="52" name="Picture_246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1046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57150" cy="152400"/>
                      <wp:effectExtent l="0" t="0" r="0" b="0"/>
                      <wp:wrapNone/>
                      <wp:docPr id="53" name="Picture_197_SpCnt_4"/>
                      <wp:cNvGraphicFramePr/>
                      <a:graphic xmlns:a="http://schemas.openxmlformats.org/drawingml/2006/main">
                        <a:graphicData uri="http://schemas.openxmlformats.org/drawingml/2006/picture">
                          <pic:pic xmlns:pic="http://schemas.openxmlformats.org/drawingml/2006/picture">
                            <pic:nvPicPr>
                              <pic:cNvPr id="53" name="Picture_197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114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57150" cy="147955"/>
                      <wp:effectExtent l="0" t="0" r="0" b="0"/>
                      <wp:wrapNone/>
                      <wp:docPr id="54" name="Picture_247_SpCnt_4"/>
                      <wp:cNvGraphicFramePr/>
                      <a:graphic xmlns:a="http://schemas.openxmlformats.org/drawingml/2006/main">
                        <a:graphicData uri="http://schemas.openxmlformats.org/drawingml/2006/picture">
                          <pic:pic xmlns:pic="http://schemas.openxmlformats.org/drawingml/2006/picture">
                            <pic:nvPicPr>
                              <pic:cNvPr id="54" name="Picture_247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125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57150" cy="147320"/>
                      <wp:effectExtent l="0" t="0" r="0" b="0"/>
                      <wp:wrapNone/>
                      <wp:docPr id="55" name="Picture_204_SpCnt_5"/>
                      <wp:cNvGraphicFramePr/>
                      <a:graphic xmlns:a="http://schemas.openxmlformats.org/drawingml/2006/main">
                        <a:graphicData uri="http://schemas.openxmlformats.org/drawingml/2006/picture">
                          <pic:pic xmlns:pic="http://schemas.openxmlformats.org/drawingml/2006/picture">
                            <pic:nvPicPr>
                              <pic:cNvPr id="55" name="Picture_204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353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57150" cy="147320"/>
                      <wp:effectExtent l="0" t="0" r="0" b="0"/>
                      <wp:wrapNone/>
                      <wp:docPr id="56" name="Picture_200_SpCnt_5"/>
                      <wp:cNvGraphicFramePr/>
                      <a:graphic xmlns:a="http://schemas.openxmlformats.org/drawingml/2006/main">
                        <a:graphicData uri="http://schemas.openxmlformats.org/drawingml/2006/picture">
                          <pic:pic xmlns:pic="http://schemas.openxmlformats.org/drawingml/2006/picture">
                            <pic:nvPicPr>
                              <pic:cNvPr id="56" name="Picture_200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456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57150" cy="147955"/>
                      <wp:effectExtent l="0" t="0" r="0" b="0"/>
                      <wp:wrapNone/>
                      <wp:docPr id="57" name="Picture_246_SpCnt_4"/>
                      <wp:cNvGraphicFramePr/>
                      <a:graphic xmlns:a="http://schemas.openxmlformats.org/drawingml/2006/main">
                        <a:graphicData uri="http://schemas.openxmlformats.org/drawingml/2006/picture">
                          <pic:pic xmlns:pic="http://schemas.openxmlformats.org/drawingml/2006/picture">
                            <pic:nvPicPr>
                              <pic:cNvPr id="57" name="Picture_246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55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57150" cy="147320"/>
                      <wp:effectExtent l="0" t="0" r="0" b="0"/>
                      <wp:wrapNone/>
                      <wp:docPr id="58" name="Picture_197_SpCnt_5"/>
                      <wp:cNvGraphicFramePr/>
                      <a:graphic xmlns:a="http://schemas.openxmlformats.org/drawingml/2006/main">
                        <a:graphicData uri="http://schemas.openxmlformats.org/drawingml/2006/picture">
                          <pic:pic xmlns:pic="http://schemas.openxmlformats.org/drawingml/2006/picture">
                            <pic:nvPicPr>
                              <pic:cNvPr id="58" name="Picture_19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66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57150" cy="147320"/>
                      <wp:effectExtent l="0" t="0" r="0" b="0"/>
                      <wp:wrapNone/>
                      <wp:docPr id="59" name="Picture_205_SpCnt_4"/>
                      <wp:cNvGraphicFramePr/>
                      <a:graphic xmlns:a="http://schemas.openxmlformats.org/drawingml/2006/main">
                        <a:graphicData uri="http://schemas.openxmlformats.org/drawingml/2006/picture">
                          <pic:pic xmlns:pic="http://schemas.openxmlformats.org/drawingml/2006/picture">
                            <pic:nvPicPr>
                              <pic:cNvPr id="59" name="Picture_205_SpCnt_4"/>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763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57150" cy="152400"/>
                      <wp:effectExtent l="0" t="0" r="0" b="0"/>
                      <wp:wrapNone/>
                      <wp:docPr id="60" name="Picture_205_SpCnt_5"/>
                      <wp:cNvGraphicFramePr/>
                      <a:graphic xmlns:a="http://schemas.openxmlformats.org/drawingml/2006/main">
                        <a:graphicData uri="http://schemas.openxmlformats.org/drawingml/2006/picture">
                          <pic:pic xmlns:pic="http://schemas.openxmlformats.org/drawingml/2006/picture">
                            <pic:nvPicPr>
                              <pic:cNvPr id="60" name="Picture_205_SpCnt_5"/>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865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57150" cy="147955"/>
                      <wp:effectExtent l="0" t="0" r="0" b="0"/>
                      <wp:wrapNone/>
                      <wp:docPr id="61" name="Picture_245_SpCnt_3"/>
                      <wp:cNvGraphicFramePr/>
                      <a:graphic xmlns:a="http://schemas.openxmlformats.org/drawingml/2006/main">
                        <a:graphicData uri="http://schemas.openxmlformats.org/drawingml/2006/picture">
                          <pic:pic xmlns:pic="http://schemas.openxmlformats.org/drawingml/2006/picture">
                            <pic:nvPicPr>
                              <pic:cNvPr id="61" name="Picture_245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96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57150" cy="147320"/>
                      <wp:effectExtent l="0" t="0" r="0" b="0"/>
                      <wp:wrapNone/>
                      <wp:docPr id="62" name="Picture_204_SpCnt_6"/>
                      <wp:cNvGraphicFramePr/>
                      <a:graphic xmlns:a="http://schemas.openxmlformats.org/drawingml/2006/main">
                        <a:graphicData uri="http://schemas.openxmlformats.org/drawingml/2006/picture">
                          <pic:pic xmlns:pic="http://schemas.openxmlformats.org/drawingml/2006/picture">
                            <pic:nvPicPr>
                              <pic:cNvPr id="62" name="Picture_204_SpCnt_6"/>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2070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57150" cy="147320"/>
                      <wp:effectExtent l="0" t="0" r="0" b="0"/>
                      <wp:wrapNone/>
                      <wp:docPr id="63" name="Picture_200_SpCnt_6"/>
                      <wp:cNvGraphicFramePr/>
                      <a:graphic xmlns:a="http://schemas.openxmlformats.org/drawingml/2006/main">
                        <a:graphicData uri="http://schemas.openxmlformats.org/drawingml/2006/picture">
                          <pic:pic xmlns:pic="http://schemas.openxmlformats.org/drawingml/2006/picture">
                            <pic:nvPicPr>
                              <pic:cNvPr id="63" name="Picture_200_SpCnt_6"/>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2172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57150" cy="147955"/>
                      <wp:effectExtent l="0" t="0" r="0" b="0"/>
                      <wp:wrapNone/>
                      <wp:docPr id="64" name="Picture_205_SpCnt_6"/>
                      <wp:cNvGraphicFramePr/>
                      <a:graphic xmlns:a="http://schemas.openxmlformats.org/drawingml/2006/main">
                        <a:graphicData uri="http://schemas.openxmlformats.org/drawingml/2006/picture">
                          <pic:pic xmlns:pic="http://schemas.openxmlformats.org/drawingml/2006/picture">
                            <pic:nvPicPr>
                              <pic:cNvPr id="64" name="Picture_205_SpCnt_6"/>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227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57150" cy="147320"/>
                      <wp:effectExtent l="0" t="0" r="0" b="0"/>
                      <wp:wrapNone/>
                      <wp:docPr id="65" name="Picture_197_SpCnt_6"/>
                      <wp:cNvGraphicFramePr/>
                      <a:graphic xmlns:a="http://schemas.openxmlformats.org/drawingml/2006/main">
                        <a:graphicData uri="http://schemas.openxmlformats.org/drawingml/2006/picture">
                          <pic:pic xmlns:pic="http://schemas.openxmlformats.org/drawingml/2006/picture">
                            <pic:nvPicPr>
                              <pic:cNvPr id="65" name="Picture_197_SpCnt_6"/>
                              <pic:cNvPicPr/>
                              <pic:nvPr/>
                            </pic:nvPicPr>
                            <pic:blipFill>
                              <a:blip r:embed="rId12"/>
                              <a:stretch/>
                            </pic:blipFill>
                            <pic:spPr bwMode="auto">
                              <a:xfrm>
                                <a:off x="0" y="0"/>
                                <a:ext cx="57150" cy="1473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237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57150" cy="147320"/>
                      <wp:effectExtent l="0" t="0" r="0" b="0"/>
                      <wp:wrapNone/>
                      <wp:docPr id="66" name="Picture_410_SpCnt_2"/>
                      <wp:cNvGraphicFramePr/>
                      <a:graphic xmlns:a="http://schemas.openxmlformats.org/drawingml/2006/main">
                        <a:graphicData uri="http://schemas.openxmlformats.org/drawingml/2006/picture">
                          <pic:pic xmlns:pic="http://schemas.openxmlformats.org/drawingml/2006/picture">
                            <pic:nvPicPr>
                              <pic:cNvPr id="66" name="Picture_410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480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57150" cy="152400"/>
                      <wp:effectExtent l="0" t="0" r="0" b="0"/>
                      <wp:wrapNone/>
                      <wp:docPr id="67" name="Picture_205_SpCnt_7"/>
                      <wp:cNvGraphicFramePr/>
                      <a:graphic xmlns:a="http://schemas.openxmlformats.org/drawingml/2006/main">
                        <a:graphicData uri="http://schemas.openxmlformats.org/drawingml/2006/picture">
                          <pic:pic xmlns:pic="http://schemas.openxmlformats.org/drawingml/2006/picture">
                            <pic:nvPicPr>
                              <pic:cNvPr id="67" name="Picture_205_SpCnt_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582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57150" cy="152400"/>
                      <wp:effectExtent l="0" t="0" r="0" b="0"/>
                      <wp:wrapNone/>
                      <wp:docPr id="68" name="Picture_245_SpCnt_4"/>
                      <wp:cNvGraphicFramePr/>
                      <a:graphic xmlns:a="http://schemas.openxmlformats.org/drawingml/2006/main">
                        <a:graphicData uri="http://schemas.openxmlformats.org/drawingml/2006/picture">
                          <pic:pic xmlns:pic="http://schemas.openxmlformats.org/drawingml/2006/picture">
                            <pic:nvPicPr>
                              <pic:cNvPr id="68" name="Picture_245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684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57150" cy="152400"/>
                      <wp:effectExtent l="0" t="0" r="0" b="0"/>
                      <wp:wrapNone/>
                      <wp:docPr id="69" name="Picture_204_SpCnt_7"/>
                      <wp:cNvGraphicFramePr/>
                      <a:graphic xmlns:a="http://schemas.openxmlformats.org/drawingml/2006/main">
                        <a:graphicData uri="http://schemas.openxmlformats.org/drawingml/2006/picture">
                          <pic:pic xmlns:pic="http://schemas.openxmlformats.org/drawingml/2006/picture">
                            <pic:nvPicPr>
                              <pic:cNvPr id="69" name="Picture_204_SpCnt_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787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57150" cy="147955"/>
                      <wp:effectExtent l="0" t="0" r="0" b="0"/>
                      <wp:wrapNone/>
                      <wp:docPr id="70" name="Picture_204_SpCnt_8"/>
                      <wp:cNvGraphicFramePr/>
                      <a:graphic xmlns:a="http://schemas.openxmlformats.org/drawingml/2006/main">
                        <a:graphicData uri="http://schemas.openxmlformats.org/drawingml/2006/picture">
                          <pic:pic xmlns:pic="http://schemas.openxmlformats.org/drawingml/2006/picture">
                            <pic:nvPicPr>
                              <pic:cNvPr id="70" name="Picture_204_SpCnt_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889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57150" cy="147320"/>
                      <wp:effectExtent l="0" t="0" r="0" b="0"/>
                      <wp:wrapNone/>
                      <wp:docPr id="71" name="Picture_409_SpCnt_5"/>
                      <wp:cNvGraphicFramePr/>
                      <a:graphic xmlns:a="http://schemas.openxmlformats.org/drawingml/2006/main">
                        <a:graphicData uri="http://schemas.openxmlformats.org/drawingml/2006/picture">
                          <pic:pic xmlns:pic="http://schemas.openxmlformats.org/drawingml/2006/picture">
                            <pic:nvPicPr>
                              <pic:cNvPr id="71" name="Picture_409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99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57150" cy="147320"/>
                      <wp:effectExtent l="0" t="0" r="0" b="0"/>
                      <wp:wrapNone/>
                      <wp:docPr id="72" name="Picture_408_SpCnt_5"/>
                      <wp:cNvGraphicFramePr/>
                      <a:graphic xmlns:a="http://schemas.openxmlformats.org/drawingml/2006/main">
                        <a:graphicData uri="http://schemas.openxmlformats.org/drawingml/2006/picture">
                          <pic:pic xmlns:pic="http://schemas.openxmlformats.org/drawingml/2006/picture">
                            <pic:nvPicPr>
                              <pic:cNvPr id="72" name="Picture_408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309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57150" cy="147955"/>
                      <wp:effectExtent l="0" t="0" r="0" b="0"/>
                      <wp:wrapNone/>
                      <wp:docPr id="73" name="Picture_200_SpCnt_7"/>
                      <wp:cNvGraphicFramePr/>
                      <a:graphic xmlns:a="http://schemas.openxmlformats.org/drawingml/2006/main">
                        <a:graphicData uri="http://schemas.openxmlformats.org/drawingml/2006/picture">
                          <pic:pic xmlns:pic="http://schemas.openxmlformats.org/drawingml/2006/picture">
                            <pic:nvPicPr>
                              <pic:cNvPr id="73" name="Picture_200_SpCnt_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3196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57150" cy="147320"/>
                      <wp:effectExtent l="0" t="0" r="0" b="0"/>
                      <wp:wrapNone/>
                      <wp:docPr id="74" name="Picture_407_SpCnt_5"/>
                      <wp:cNvGraphicFramePr/>
                      <a:graphic xmlns:a="http://schemas.openxmlformats.org/drawingml/2006/main">
                        <a:graphicData uri="http://schemas.openxmlformats.org/drawingml/2006/picture">
                          <pic:pic xmlns:pic="http://schemas.openxmlformats.org/drawingml/2006/picture">
                            <pic:nvPicPr>
                              <pic:cNvPr id="74" name="Picture_40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3299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57150" cy="147320"/>
                      <wp:effectExtent l="0" t="0" r="0" b="0"/>
                      <wp:wrapNone/>
                      <wp:docPr id="75" name="Picture_248_SpCnt_5"/>
                      <wp:cNvGraphicFramePr/>
                      <a:graphic xmlns:a="http://schemas.openxmlformats.org/drawingml/2006/main">
                        <a:graphicData uri="http://schemas.openxmlformats.org/drawingml/2006/picture">
                          <pic:pic xmlns:pic="http://schemas.openxmlformats.org/drawingml/2006/picture">
                            <pic:nvPicPr>
                              <pic:cNvPr id="75" name="Picture_248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40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57150" cy="152400"/>
                      <wp:effectExtent l="0" t="0" r="0" b="0"/>
                      <wp:wrapNone/>
                      <wp:docPr id="76" name="Picture_200_SpCnt_8"/>
                      <wp:cNvGraphicFramePr/>
                      <a:graphic xmlns:a="http://schemas.openxmlformats.org/drawingml/2006/main">
                        <a:graphicData uri="http://schemas.openxmlformats.org/drawingml/2006/picture">
                          <pic:pic xmlns:pic="http://schemas.openxmlformats.org/drawingml/2006/picture">
                            <pic:nvPicPr>
                              <pic:cNvPr id="76" name="Picture_200_SpCnt_8"/>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3504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57150" cy="147955"/>
                      <wp:effectExtent l="0" t="0" r="0" b="0"/>
                      <wp:wrapNone/>
                      <wp:docPr id="77" name="Picture_197_SpCnt_7"/>
                      <wp:cNvGraphicFramePr/>
                      <a:graphic xmlns:a="http://schemas.openxmlformats.org/drawingml/2006/main">
                        <a:graphicData uri="http://schemas.openxmlformats.org/drawingml/2006/picture">
                          <pic:pic xmlns:pic="http://schemas.openxmlformats.org/drawingml/2006/picture">
                            <pic:nvPicPr>
                              <pic:cNvPr id="77" name="Picture_197_SpCnt_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606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57150" cy="147320"/>
                      <wp:effectExtent l="0" t="0" r="0" b="0"/>
                      <wp:wrapNone/>
                      <wp:docPr id="78" name="Picture_247_SpCnt_5"/>
                      <wp:cNvGraphicFramePr/>
                      <a:graphic xmlns:a="http://schemas.openxmlformats.org/drawingml/2006/main">
                        <a:graphicData uri="http://schemas.openxmlformats.org/drawingml/2006/picture">
                          <pic:pic xmlns:pic="http://schemas.openxmlformats.org/drawingml/2006/picture">
                            <pic:nvPicPr>
                              <pic:cNvPr id="78" name="Picture_24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708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57150" cy="147320"/>
                      <wp:effectExtent l="0" t="0" r="0" b="0"/>
                      <wp:wrapNone/>
                      <wp:docPr id="79" name="Picture_246_SpCnt_5"/>
                      <wp:cNvGraphicFramePr/>
                      <a:graphic xmlns:a="http://schemas.openxmlformats.org/drawingml/2006/main">
                        <a:graphicData uri="http://schemas.openxmlformats.org/drawingml/2006/picture">
                          <pic:pic xmlns:pic="http://schemas.openxmlformats.org/drawingml/2006/picture">
                            <pic:nvPicPr>
                              <pic:cNvPr id="79" name="Picture_246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81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57150" cy="147955"/>
                      <wp:effectExtent l="0" t="0" r="0" b="0"/>
                      <wp:wrapNone/>
                      <wp:docPr id="80" name="Picture_205_SpCnt_8"/>
                      <wp:cNvGraphicFramePr/>
                      <a:graphic xmlns:a="http://schemas.openxmlformats.org/drawingml/2006/main">
                        <a:graphicData uri="http://schemas.openxmlformats.org/drawingml/2006/picture">
                          <pic:pic xmlns:pic="http://schemas.openxmlformats.org/drawingml/2006/picture">
                            <pic:nvPicPr>
                              <pic:cNvPr id="80" name="Picture_205_SpCnt_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913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57150" cy="147320"/>
                      <wp:effectExtent l="0" t="0" r="0" b="0"/>
                      <wp:wrapNone/>
                      <wp:docPr id="81" name="Picture_245_SpCnt_5"/>
                      <wp:cNvGraphicFramePr/>
                      <a:graphic xmlns:a="http://schemas.openxmlformats.org/drawingml/2006/main">
                        <a:graphicData uri="http://schemas.openxmlformats.org/drawingml/2006/picture">
                          <pic:pic xmlns:pic="http://schemas.openxmlformats.org/drawingml/2006/picture">
                            <pic:nvPicPr>
                              <pic:cNvPr id="81" name="Picture_245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4016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57150" cy="147320"/>
                      <wp:effectExtent l="0" t="0" r="0" b="0"/>
                      <wp:wrapNone/>
                      <wp:docPr id="82" name="Picture_205_SpCnt_9"/>
                      <wp:cNvGraphicFramePr/>
                      <a:graphic xmlns:a="http://schemas.openxmlformats.org/drawingml/2006/main">
                        <a:graphicData uri="http://schemas.openxmlformats.org/drawingml/2006/picture">
                          <pic:pic xmlns:pic="http://schemas.openxmlformats.org/drawingml/2006/picture">
                            <pic:nvPicPr>
                              <pic:cNvPr id="82" name="Picture_205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411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57150" cy="152400"/>
                      <wp:effectExtent l="0" t="0" r="0" b="0"/>
                      <wp:wrapNone/>
                      <wp:docPr id="83" name="Picture_205_SpCnt_10"/>
                      <wp:cNvGraphicFramePr/>
                      <a:graphic xmlns:a="http://schemas.openxmlformats.org/drawingml/2006/main">
                        <a:graphicData uri="http://schemas.openxmlformats.org/drawingml/2006/picture">
                          <pic:pic xmlns:pic="http://schemas.openxmlformats.org/drawingml/2006/picture">
                            <pic:nvPicPr>
                              <pic:cNvPr id="83" name="Picture_205_SpCnt_10"/>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4220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0</wp:posOffset>
                      </wp:positionH>
                      <wp:positionV relativeFrom="paragraph">
                        <wp:posOffset>0</wp:posOffset>
                      </wp:positionV>
                      <wp:extent cx="57150" cy="152400"/>
                      <wp:effectExtent l="0" t="0" r="0" b="0"/>
                      <wp:wrapNone/>
                      <wp:docPr id="84" name="Picture_197_SpCnt_8"/>
                      <wp:cNvGraphicFramePr/>
                      <a:graphic xmlns:a="http://schemas.openxmlformats.org/drawingml/2006/main">
                        <a:graphicData uri="http://schemas.openxmlformats.org/drawingml/2006/picture">
                          <pic:pic xmlns:pic="http://schemas.openxmlformats.org/drawingml/2006/picture">
                            <pic:nvPicPr>
                              <pic:cNvPr id="84" name="Picture_197_SpCnt_8"/>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4323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0</wp:posOffset>
                      </wp:positionH>
                      <wp:positionV relativeFrom="paragraph">
                        <wp:posOffset>0</wp:posOffset>
                      </wp:positionV>
                      <wp:extent cx="57150" cy="147955"/>
                      <wp:effectExtent l="0" t="0" r="0" b="0"/>
                      <wp:wrapNone/>
                      <wp:docPr id="85" name="Picture_204_SpCnt_9"/>
                      <wp:cNvGraphicFramePr/>
                      <a:graphic xmlns:a="http://schemas.openxmlformats.org/drawingml/2006/main">
                        <a:graphicData uri="http://schemas.openxmlformats.org/drawingml/2006/picture">
                          <pic:pic xmlns:pic="http://schemas.openxmlformats.org/drawingml/2006/picture">
                            <pic:nvPicPr>
                              <pic:cNvPr id="85" name="Picture_204_SpCnt_9"/>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4425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0</wp:posOffset>
                      </wp:positionH>
                      <wp:positionV relativeFrom="paragraph">
                        <wp:posOffset>0</wp:posOffset>
                      </wp:positionV>
                      <wp:extent cx="57150" cy="147320"/>
                      <wp:effectExtent l="0" t="0" r="0" b="0"/>
                      <wp:wrapNone/>
                      <wp:docPr id="86" name="Picture_204_SpCnt_10"/>
                      <wp:cNvGraphicFramePr/>
                      <a:graphic xmlns:a="http://schemas.openxmlformats.org/drawingml/2006/main">
                        <a:graphicData uri="http://schemas.openxmlformats.org/drawingml/2006/picture">
                          <pic:pic xmlns:pic="http://schemas.openxmlformats.org/drawingml/2006/picture">
                            <pic:nvPicPr>
                              <pic:cNvPr id="86" name="Picture_204_SpCnt_10"/>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52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57150" cy="147320"/>
                      <wp:effectExtent l="0" t="0" r="0" b="0"/>
                      <wp:wrapNone/>
                      <wp:docPr id="87" name="Picture_200_SpCnt_9"/>
                      <wp:cNvGraphicFramePr/>
                      <a:graphic xmlns:a="http://schemas.openxmlformats.org/drawingml/2006/main">
                        <a:graphicData uri="http://schemas.openxmlformats.org/drawingml/2006/picture">
                          <pic:pic xmlns:pic="http://schemas.openxmlformats.org/drawingml/2006/picture">
                            <pic:nvPicPr>
                              <pic:cNvPr id="87" name="Picture_200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4630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0</wp:posOffset>
                      </wp:positionH>
                      <wp:positionV relativeFrom="paragraph">
                        <wp:posOffset>0</wp:posOffset>
                      </wp:positionV>
                      <wp:extent cx="57150" cy="147955"/>
                      <wp:effectExtent l="0" t="0" r="0" b="0"/>
                      <wp:wrapNone/>
                      <wp:docPr id="88" name="Picture_200_SpCnt_10"/>
                      <wp:cNvGraphicFramePr/>
                      <a:graphic xmlns:a="http://schemas.openxmlformats.org/drawingml/2006/main">
                        <a:graphicData uri="http://schemas.openxmlformats.org/drawingml/2006/picture">
                          <pic:pic xmlns:pic="http://schemas.openxmlformats.org/drawingml/2006/picture">
                            <pic:nvPicPr>
                              <pic:cNvPr id="88" name="Picture_200_SpCnt_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732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0</wp:posOffset>
                      </wp:positionH>
                      <wp:positionV relativeFrom="paragraph">
                        <wp:posOffset>0</wp:posOffset>
                      </wp:positionV>
                      <wp:extent cx="57150" cy="147320"/>
                      <wp:effectExtent l="0" t="0" r="0" b="0"/>
                      <wp:wrapNone/>
                      <wp:docPr id="89" name="Picture_197_SpCnt_9"/>
                      <wp:cNvGraphicFramePr/>
                      <a:graphic xmlns:a="http://schemas.openxmlformats.org/drawingml/2006/main">
                        <a:graphicData uri="http://schemas.openxmlformats.org/drawingml/2006/picture">
                          <pic:pic xmlns:pic="http://schemas.openxmlformats.org/drawingml/2006/picture">
                            <pic:nvPicPr>
                              <pic:cNvPr id="89" name="Picture_197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83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0</wp:posOffset>
                      </wp:positionH>
                      <wp:positionV relativeFrom="paragraph">
                        <wp:posOffset>0</wp:posOffset>
                      </wp:positionV>
                      <wp:extent cx="57150" cy="147320"/>
                      <wp:effectExtent l="0" t="0" r="0" b="0"/>
                      <wp:wrapNone/>
                      <wp:docPr id="90" name="Picture_205_SpCnt_11"/>
                      <wp:cNvGraphicFramePr/>
                      <a:graphic xmlns:a="http://schemas.openxmlformats.org/drawingml/2006/main">
                        <a:graphicData uri="http://schemas.openxmlformats.org/drawingml/2006/picture">
                          <pic:pic xmlns:pic="http://schemas.openxmlformats.org/drawingml/2006/picture">
                            <pic:nvPicPr>
                              <pic:cNvPr id="90" name="Picture_205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93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0</wp:posOffset>
                      </wp:positionH>
                      <wp:positionV relativeFrom="paragraph">
                        <wp:posOffset>0</wp:posOffset>
                      </wp:positionV>
                      <wp:extent cx="57150" cy="152400"/>
                      <wp:effectExtent l="0" t="0" r="0" b="0"/>
                      <wp:wrapNone/>
                      <wp:docPr id="91" name="Picture_410_SpCnt_3"/>
                      <wp:cNvGraphicFramePr/>
                      <a:graphic xmlns:a="http://schemas.openxmlformats.org/drawingml/2006/main">
                        <a:graphicData uri="http://schemas.openxmlformats.org/drawingml/2006/picture">
                          <pic:pic xmlns:pic="http://schemas.openxmlformats.org/drawingml/2006/picture">
                            <pic:nvPicPr>
                              <pic:cNvPr id="91" name="Picture_410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5040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0</wp:posOffset>
                      </wp:positionH>
                      <wp:positionV relativeFrom="paragraph">
                        <wp:posOffset>0</wp:posOffset>
                      </wp:positionV>
                      <wp:extent cx="57150" cy="147955"/>
                      <wp:effectExtent l="0" t="0" r="0" b="0"/>
                      <wp:wrapNone/>
                      <wp:docPr id="92" name="Picture_197_SpCnt_10"/>
                      <wp:cNvGraphicFramePr/>
                      <a:graphic xmlns:a="http://schemas.openxmlformats.org/drawingml/2006/main">
                        <a:graphicData uri="http://schemas.openxmlformats.org/drawingml/2006/picture">
                          <pic:pic xmlns:pic="http://schemas.openxmlformats.org/drawingml/2006/picture">
                            <pic:nvPicPr>
                              <pic:cNvPr id="92" name="Picture_197_SpCnt_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5142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0</wp:posOffset>
                      </wp:positionH>
                      <wp:positionV relativeFrom="paragraph">
                        <wp:posOffset>0</wp:posOffset>
                      </wp:positionV>
                      <wp:extent cx="57150" cy="147320"/>
                      <wp:effectExtent l="0" t="0" r="0" b="0"/>
                      <wp:wrapNone/>
                      <wp:docPr id="93" name="Picture_204_SpCnt_11"/>
                      <wp:cNvGraphicFramePr/>
                      <a:graphic xmlns:a="http://schemas.openxmlformats.org/drawingml/2006/main">
                        <a:graphicData uri="http://schemas.openxmlformats.org/drawingml/2006/picture">
                          <pic:pic xmlns:pic="http://schemas.openxmlformats.org/drawingml/2006/picture">
                            <pic:nvPicPr>
                              <pic:cNvPr id="93" name="Picture_204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524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0</wp:posOffset>
                      </wp:positionH>
                      <wp:positionV relativeFrom="paragraph">
                        <wp:posOffset>0</wp:posOffset>
                      </wp:positionV>
                      <wp:extent cx="57150" cy="147320"/>
                      <wp:effectExtent l="0" t="0" r="0" b="0"/>
                      <wp:wrapNone/>
                      <wp:docPr id="94" name="Picture_200_SpCnt_11"/>
                      <wp:cNvGraphicFramePr/>
                      <a:graphic xmlns:a="http://schemas.openxmlformats.org/drawingml/2006/main">
                        <a:graphicData uri="http://schemas.openxmlformats.org/drawingml/2006/picture">
                          <pic:pic xmlns:pic="http://schemas.openxmlformats.org/drawingml/2006/picture">
                            <pic:nvPicPr>
                              <pic:cNvPr id="94" name="Picture_200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5347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0</wp:posOffset>
                      </wp:positionH>
                      <wp:positionV relativeFrom="paragraph">
                        <wp:posOffset>0</wp:posOffset>
                      </wp:positionV>
                      <wp:extent cx="57150" cy="152400"/>
                      <wp:effectExtent l="0" t="0" r="0" b="0"/>
                      <wp:wrapNone/>
                      <wp:docPr id="95" name="Picture_410_SpCnt_4"/>
                      <wp:cNvGraphicFramePr/>
                      <a:graphic xmlns:a="http://schemas.openxmlformats.org/drawingml/2006/main">
                        <a:graphicData uri="http://schemas.openxmlformats.org/drawingml/2006/picture">
                          <pic:pic xmlns:pic="http://schemas.openxmlformats.org/drawingml/2006/picture">
                            <pic:nvPicPr>
                              <pic:cNvPr id="95" name="Picture_410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5449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0</wp:posOffset>
                      </wp:positionH>
                      <wp:positionV relativeFrom="paragraph">
                        <wp:posOffset>0</wp:posOffset>
                      </wp:positionV>
                      <wp:extent cx="57150" cy="147320"/>
                      <wp:effectExtent l="0" t="0" r="0" b="0"/>
                      <wp:wrapNone/>
                      <wp:docPr id="96" name="Picture_197_SpCnt_11"/>
                      <wp:cNvGraphicFramePr/>
                      <a:graphic xmlns:a="http://schemas.openxmlformats.org/drawingml/2006/main">
                        <a:graphicData uri="http://schemas.openxmlformats.org/drawingml/2006/picture">
                          <pic:pic xmlns:pic="http://schemas.openxmlformats.org/drawingml/2006/picture">
                            <pic:nvPicPr>
                              <pic:cNvPr id="96" name="Picture_197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55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0</wp:posOffset>
                      </wp:positionH>
                      <wp:positionV relativeFrom="paragraph">
                        <wp:posOffset>0</wp:posOffset>
                      </wp:positionV>
                      <wp:extent cx="57150" cy="147955"/>
                      <wp:effectExtent l="0" t="0" r="0" b="0"/>
                      <wp:wrapNone/>
                      <wp:docPr id="97" name="Picture_410_SpCnt_5"/>
                      <wp:cNvGraphicFramePr/>
                      <a:graphic xmlns:a="http://schemas.openxmlformats.org/drawingml/2006/main">
                        <a:graphicData uri="http://schemas.openxmlformats.org/drawingml/2006/picture">
                          <pic:pic xmlns:pic="http://schemas.openxmlformats.org/drawingml/2006/picture">
                            <pic:nvPicPr>
                              <pic:cNvPr id="97" name="Picture_410_SpCnt_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65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w:t xml:space="preserve">F、理化生虚拟仿真AR创新实验室</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F1、教师端AR理化生实验</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44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AR中学物理实验平台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一、平台功能要求：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#1.平台支持多种终端设备授权接入。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#3.平台实验模拟真实的物理特性，包括部分在现实课堂中无法直接观察和控制的事物和现象，如光、磁、电的粒子特性等，与物理实际规律、特征相匹配。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#4.可支持AI体感手势识别技术，参与互动操作人员无需手持、无需穿戴佩戴任何设备（如：3D光学追踪控制笔、3D眼镜等），只需裸眼、空手手势便可进行AR互动操作。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#5.平台模块化设计，包含实验教学模块和实验模拟考试模块。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二、实验教学模块功能要求：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#1.辅助线功能：清晰呈现抽象概念，便于理解实验原理。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#2.数据记录功能：点击记录按钮自动记录数据；表格数据一目了然，方便观察，总结。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#3.背包功能：根据实验情况从背包选择或抓取所需实验器材、实验用品。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三、实验测评考试模块功能要求：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#1.仿真实验操作与物理学业水平考试操作步骤一致，模拟真实实验考试过程。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#2.倒计时功能：模拟考试时间限制，时间结束自动提交成绩（可提前主动提交）。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#3.数据填写功能：根据实验内容填写实验报告。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#4.AI测评功能：根据学生完成实验时的操作快速给出相应的得分，并能直接定位错误步骤和失分点。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#5.AI数据分析功能：包含实验总览、实验统计、综合分析、分值曲线、错误分布等。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8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中学物理实验课件资源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#1.实验教学课件资源≥45套；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测量盐水和小石块的密度2）探究同种物质的质量与体积的关系3）探究凸透镜成像的规律4）测量斜面的机械效率5）研究定滑轮和动滑轮的特点6）探究重力的大小跟质量的关系7）连接串联电路和并联电路8）练习使用滑动电阻器9）研究磁场的方向10）探究通电螺线管外部的磁场分布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#2.实验测评考试课件资源≥21套；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必须涵盖：1）探究水沸腾时温度变化的特点2）探究平面镜成像的特点3）探究电流与电压的关系4) 用托盘天平测量物体的质量 5) 用常见温度计测量温度 6) 测量物体运动的速度 7) 用电流表测量电流 8) 用电流表和电压表测量电阻9) 探究滑动摩擦力大小与哪些因素有关10) 探究浮力大小与哪些因素有关11) 探究光的反射定律12) 探究凸透镜成像的规律13) 探究导体在磁场中运动时产生感应电流的条件等；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▲3.提供系统的软件著作权登记证书或软件开发商授权书原件电子扫描件；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19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AR中学化学实验平台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一、平台功能要求：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#1.平台支持多种终端设备授权接入。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#3.可支持AI体感手势识别技术，参与互动操作人员无需手持、无需穿戴佩戴任何设备（如：3D光学追踪控制笔、3D眼镜等），只需裸眼、空手手势便可进行AR互动操作。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#4.平台模块化设计，包含实验教学模块和实验模拟考试模块。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二、实验教学模块功能要求：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#1.背包功能：根据实验情况从背包选择或抓取所需实验器材、实验用品。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#2.微观粒子展现功能：更清晰观察化学反应现象、原理。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三、实验测评考试模块功能要求：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#1.仿真实验操作与化学学业水平考试操作步骤一致，模拟真实实验考试过程。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#2.倒计时功能：模拟考试时间限制，时间结束自动提交成绩（可提前主动提交）。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#3.AI测评功能：根据学生完成实验时的操作快速给出相应的得分，并能直接定位错误步骤和失分点。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#4.AI数据分析功能：包含实验总览、实验统计、综合分析、分值曲线、错误分布等。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中学化学实验课件资源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#1.实验教学课件资源≥35套；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 一氧化碳还原氧化铁2) 测定空气里氧气的含量3) 硫分别在空气和氧气里燃烧4) 配置一定质量分数的氯化钠溶液5) 铁丝在氧气中剧烈燃烧6) 加热高锰酸钾制取氧气7) 二氧化锰的催化作用8) 分解过氧化氢制取氧气9) 分子运动现象的实验10) 探究铝、铜、银的金属活动性顺序等。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#2.实验测评考试课件资源≥8套；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 粗盐中难溶性杂质的去除2) 氧气的实验室制取与性质3) 二氧化碳的实验室制取与性质4) 常见金属的物理性质和化学性质5) 常见酸、碱的化学性质6) 一定溶质质量分数的氯化钠溶液的配制7) 水的组成及变化的探究8) 燃烧条件的探究等。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▲3.提供系统的软件著作权登记证书或软件开发商授权书原件电子件；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61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AR中学生物实验平台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iCs/>
                <w:color w:val="000000"/>
                <w:sz w:val="21"/>
                <w:szCs w:val="21"/>
                <w:u w:val="none"/>
              </w:rPr>
              <w:suppressLineNumbers w:val="0"/>
            </w:pPr>
            <w:r>
              <w:rPr>
                <w:rFonts w:hint="eastAsia" w:ascii="宋体" w:hAnsi="宋体" w:eastAsia="宋体" w:cs="宋体"/>
                <w:i/>
                <w:iCs/>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1.平台支持多种终端设备授权接入。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#3.可支持AI体感手势识别技术，参与互动操作人员无需手持、无需穿戴佩戴任何设备（如：3D光学追踪控制笔、3D眼镜等），只需裸眼、空手手势便可进行AR互动操作。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#4.仿真实验操作与生物学业水平考试操作步骤一致，模拟真实实验考试过程。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#5.倒计时功能：模拟考试时间限制，时间结束自动提交成绩（可提前主动提交）。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#6.特写功能：可清晰观察生物切片、细胞、真菌、微生物等。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#7.AI测评功能：根据学生完成实验时的操作快速给出相应的得分，并能直接定位错误步骤和失分点。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#8.AI数据分析功能：包含实验总览、实验统计、综合分析、分值曲线、错误分布等。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中学生物实验课件资源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#1.实验教学课件资源≥30套；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 显微镜的构造 2) 洋葱鳞片叶内表皮细胞 3) 植物细胞模式图 4）动物细胞模式图 5）动物的器官 6）动物的系统 7）草履虫 8）单子叶种子的结构 9）裸子植物的种子 10）花的结构等。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#2.实验测评考试课件资源≥17套；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 练习使用显微镜2) 制作并观察植物细胞的临时装片3) 观察人的口腔上皮细胞4) 观察人体的基本组织5) 观察种子的结构6) 观察根毛和根尖的结构7) 观察花的结构8) 观察叶片的结构9) 用显微镜观察人血的永久涂片10) 观察小鱼尾鳍内血液的流动等。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▲3.提供系统的软件著作权登记证书或软件开发商授权书原件电子件；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35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AR动态捕捉感应设备</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一、硬件特性：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#1.1080P高清视频；更宽阔的视野；骨骼追踪的改进；新的主动式红外检测；改进的麦克风（零点平衡），拇指追踪、手指末端追踪、打开和收缩的手势；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#2.可视范围：水平视角：57度；垂直视角：43度；机身转动范围：+27度-27度；传感深度范围：1.2-3.5m；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#3.音效：支持Xbox LIVE群组聊天和游戏中的语音聊天；回声消除系统增强声音输入质量；多语音识别纠错；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#4.数据流：深度感应镜头320x240、16bit、30fps；颜色感应镜头640x480、32bit、30fps；音效16bit、16khz；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#5.支持其他性能感应：颜色和深度感应镜头；语音麦克风阵列；倾斜穿刚器激动调整；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#6.人物追踪：摄像机能最多同时追踪六个用户，支持两个用户同时操作一个应用；适合空间：单人，距离传感器大约4英尺7英寸（1.4米）；双人，距离传感器大约6英尺（1.8米）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二、包含与实验平台的适配开发和优化：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#1、基于Kinect手势识别技术和AR增强现实技术，实现虚拟物体与真实场景的融合优化，系统利用手势识别技术来进行平台人机交互；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#2、系统处理动态传感数据的优化，实现在实验中虚拟手实时、精确跟踪真实手，从而达到真实手抓取虚拟物体的效果；</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AR设备定制安装架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#1、与动态捕捉摄像机和显示器配套，可移动、伸缩；可实现显示器高度调节；材料坚固、外形美观；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2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教学终端设备</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#1.整机采用≥86英寸LED 液晶屏，4K高清，显示比例16:9，物理分辨率：≥3840*2160；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#2.采用红外触控技术，支持Windows系统中进行40点或以上触控，支持在Android系统中进行40点或以上触控；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#3.整机触控书写功能集成预测算法，在书写速度≥50cm/s，支持笔迹距离笔的距离小于20mm，书写触控延迟≤25ms，触摸响应≤4ms，触摸分辨率32768×32768；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#5.整机支持发出频率为18kHz-22kHz超声波信号，智能手机通过麦克风接收后，智能手机与整机无需在同一局域网内，可实现配对，一键投屏，用户无需手动输入投屏码或扫码获取投屏码；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#6.整机支持纸质护眼模式，可以在任意通道任意画面任意软件所有显示内容下实现画面纹理的实时调整；支持纸质纹理：牛皮纸、素描纸、宣纸、水彩纸、水纹纸；支持透明度、色温调节；                                                                  </w:t>
            </w:r>
            <w:r>
              <w:rPr>
                <w:rFonts w:hint="eastAsia" w:ascii="宋体" w:hAnsi="宋体" w:eastAsia="宋体" w:cs="宋体"/>
                <w:i w:val="0"/>
                <w:iCs w:val="0"/>
                <w:color w:val="000000"/>
                <w:sz w:val="21"/>
                <w:szCs w:val="21"/>
                <w:u w:val="none"/>
                <w:lang w:val="en-US" w:eastAsia="zh-CN" w:bidi="ar"/>
              </w:rPr>
              <w:t xml:space="preserve">                           #7.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#8.整机支持提笔书写，在Windows系统下可实现无需点击任意功能入口，当检测到红外笔笔尖接触屏幕时，自动进入书写模式；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#9.提供前置输入接口：支持同时在Windows及Android系统下被读取的USB3.0≥1个；标准Type-c输入接口（非转接）≥1个，均能被Windows及Android系统识别，防止老师误操作；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#11.整机内置2.2声道扬声器，额定总功率不低于60W，采用缝隙发声技术，顶置前朝向发声，声域覆盖更广；前朝向10W高音扬声器不少于2个，20W中低音扬声器不少于2个，全教室课堂音频立体声清晰真实呈现；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#12.整机支持高级音效设置，可以调节左右声道平衡；在中低频段125Hz～1KHz，高频段2KHz～16KHz分别有-12dB～12dB范围的调节功能；且支持标准、听力、观影三种音效模式调节；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#13.嵌入式系统版本不低于Android 14，内存≥2GB，存储空间≥8GB。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#14.整机屏幕蓝光占比（有害蓝光415～455nm能量综合）/（整体蓝光400～500能量综合）＜50%；背光系统支持DC调光方式，多级亮度调节，支持白颜色背景下最暗亮度≤100nit，用于提升显示对比度；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#15.整机内置双WiFi6无线网卡，在Android和Windows 系统下，可实现Wi-Fi无线上网连接、AP无线热点发射；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#16.整机支持蓝牙Bluetooth 5.4标准，固件版本号HCI13.0/LMP13.0；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#18.整机支持手笔分离，通过提笔即写唤醒批注功能后，可进行手笔分离功能，使用笔正常书写，使用手指可以操作应用，进行点击操作；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#19.整机设备自带地震预警软件；支持在地震预警页面中获取位置，可以手动进行位置校准；支持在地震预警页面中选择提醒阈值；支持在地震预警界面中开启和关闭地震预警服务；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#20.内置电脑采用 Intel 酷睿系列 不低于i5 12代CPU，配置 DDR4 8GB内存。配置 SSD 256GB硬盘；</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51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F1-10</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书写黑板</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#1.整体规格：整体外观尺寸：宽≥4200mm，高≥1200mm，厚≤150mm。书写板为左右推拉结构，由活动板、固定板、大框（轨道）、滑动系统构成，支持多媒体设备居中安装；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#2.板面：面板采用优质烤漆钢板，基板厚度≥0.30mm，丙烯酸树脂漆，漆面细腻平整，整板无拼接。硬度：涂层硬度≥5H；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#3.结构：书写板分内外双层，内层为固定书写板，采用无固定件安装，与多媒体设备正面平齐；外层为滑动书写板，可左右推拉，两块活动板闭合后，无边框障碍，可连续书写；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#4.滑块：每块活动板上、下安装四个≥50mm增强改性尼龙滑块模组；上T型正向吊装，厚度≥5mm滑动设计；下滑块模组采用单轨限位设计，活动板晃动≤0.5mm、无噪音；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#5.边框：大框（轨道）：采用银白色高档铝合金，表面经氧化、磨砂涂层处理，模具一次成型；双层铝合金管状结构，上框规格≤20mm×70mm，壁厚≥1.0mm；下框一体化设计，规格≤84*12mm，壁厚≥1.0mm；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#6.包角：包角采用ABS工程塑料，模具注塑一次成型，银灰色，长≤150mm，不接受拼接，采用内插式设计；</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F1-11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安装材料</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#1、安装配件、线材一批；</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F2、学生端分组理化生虚拟仿真实验</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0</wp:posOffset>
                      </wp:positionH>
                      <wp:positionV relativeFrom="paragraph">
                        <wp:posOffset>0</wp:posOffset>
                      </wp:positionV>
                      <wp:extent cx="57150" cy="149225"/>
                      <wp:effectExtent l="0" t="0" r="0" b="0"/>
                      <wp:wrapNone/>
                      <wp:docPr id="98" name="Picture_409_SpCnt_6"/>
                      <wp:cNvGraphicFramePr/>
                      <a:graphic xmlns:a="http://schemas.openxmlformats.org/drawingml/2006/main">
                        <a:graphicData uri="http://schemas.openxmlformats.org/drawingml/2006/picture">
                          <pic:pic xmlns:pic="http://schemas.openxmlformats.org/drawingml/2006/picture">
                            <pic:nvPicPr>
                              <pic:cNvPr id="98" name="Picture_409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756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0</wp:posOffset>
                      </wp:positionH>
                      <wp:positionV relativeFrom="paragraph">
                        <wp:posOffset>0</wp:posOffset>
                      </wp:positionV>
                      <wp:extent cx="57150" cy="149225"/>
                      <wp:effectExtent l="0" t="0" r="0" b="0"/>
                      <wp:wrapNone/>
                      <wp:docPr id="99" name="Picture_408_SpCnt_6"/>
                      <wp:cNvGraphicFramePr/>
                      <a:graphic xmlns:a="http://schemas.openxmlformats.org/drawingml/2006/main">
                        <a:graphicData uri="http://schemas.openxmlformats.org/drawingml/2006/picture">
                          <pic:pic xmlns:pic="http://schemas.openxmlformats.org/drawingml/2006/picture">
                            <pic:nvPicPr>
                              <pic:cNvPr id="99" name="Picture_408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859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0</wp:posOffset>
                      </wp:positionH>
                      <wp:positionV relativeFrom="paragraph">
                        <wp:posOffset>0</wp:posOffset>
                      </wp:positionV>
                      <wp:extent cx="57150" cy="149225"/>
                      <wp:effectExtent l="0" t="0" r="0" b="0"/>
                      <wp:wrapNone/>
                      <wp:docPr id="100" name="Picture_407_SpCnt_6"/>
                      <wp:cNvGraphicFramePr/>
                      <a:graphic xmlns:a="http://schemas.openxmlformats.org/drawingml/2006/main">
                        <a:graphicData uri="http://schemas.openxmlformats.org/drawingml/2006/picture">
                          <pic:pic xmlns:pic="http://schemas.openxmlformats.org/drawingml/2006/picture">
                            <pic:nvPicPr>
                              <pic:cNvPr id="100" name="Picture_407_SpCnt_6"/>
                              <pic:cNvPicPr/>
                              <pic:nvPr/>
                            </pic:nvPicPr>
                            <pic:blipFill>
                              <a:blip r:embed="rId12"/>
                              <a:stretch/>
                            </pic:blipFill>
                            <pic:spPr bwMode="auto">
                              <a:xfrm>
                                <a:off x="0" y="0"/>
                                <a:ext cx="57150" cy="1492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961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0</wp:posOffset>
                      </wp:positionH>
                      <wp:positionV relativeFrom="paragraph">
                        <wp:posOffset>0</wp:posOffset>
                      </wp:positionV>
                      <wp:extent cx="57150" cy="149225"/>
                      <wp:effectExtent l="0" t="0" r="0" b="0"/>
                      <wp:wrapNone/>
                      <wp:docPr id="101" name="Picture_248_SpCnt_6"/>
                      <wp:cNvGraphicFramePr/>
                      <a:graphic xmlns:a="http://schemas.openxmlformats.org/drawingml/2006/main">
                        <a:graphicData uri="http://schemas.openxmlformats.org/drawingml/2006/picture">
                          <pic:pic xmlns:pic="http://schemas.openxmlformats.org/drawingml/2006/picture">
                            <pic:nvPicPr>
                              <pic:cNvPr id="101" name="Picture_248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6064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0</wp:posOffset>
                      </wp:positionH>
                      <wp:positionV relativeFrom="paragraph">
                        <wp:posOffset>0</wp:posOffset>
                      </wp:positionV>
                      <wp:extent cx="57150" cy="149225"/>
                      <wp:effectExtent l="0" t="0" r="0" b="0"/>
                      <wp:wrapNone/>
                      <wp:docPr id="102" name="Picture_247_SpCnt_6"/>
                      <wp:cNvGraphicFramePr/>
                      <a:graphic xmlns:a="http://schemas.openxmlformats.org/drawingml/2006/main">
                        <a:graphicData uri="http://schemas.openxmlformats.org/drawingml/2006/picture">
                          <pic:pic xmlns:pic="http://schemas.openxmlformats.org/drawingml/2006/picture">
                            <pic:nvPicPr>
                              <pic:cNvPr id="102" name="Picture_247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6166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0</wp:posOffset>
                      </wp:positionH>
                      <wp:positionV relativeFrom="paragraph">
                        <wp:posOffset>0</wp:posOffset>
                      </wp:positionV>
                      <wp:extent cx="57150" cy="149225"/>
                      <wp:effectExtent l="0" t="0" r="0" b="0"/>
                      <wp:wrapNone/>
                      <wp:docPr id="103" name="Picture_246_SpCnt_6"/>
                      <wp:cNvGraphicFramePr/>
                      <a:graphic xmlns:a="http://schemas.openxmlformats.org/drawingml/2006/main">
                        <a:graphicData uri="http://schemas.openxmlformats.org/drawingml/2006/picture">
                          <pic:pic xmlns:pic="http://schemas.openxmlformats.org/drawingml/2006/picture">
                            <pic:nvPicPr>
                              <pic:cNvPr id="103" name="Picture_246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6268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0</wp:posOffset>
                      </wp:positionH>
                      <wp:positionV relativeFrom="paragraph">
                        <wp:posOffset>0</wp:posOffset>
                      </wp:positionV>
                      <wp:extent cx="57150" cy="149225"/>
                      <wp:effectExtent l="0" t="0" r="0" b="0"/>
                      <wp:wrapNone/>
                      <wp:docPr id="104" name="Picture_245_SpCnt_6"/>
                      <wp:cNvGraphicFramePr/>
                      <a:graphic xmlns:a="http://schemas.openxmlformats.org/drawingml/2006/main">
                        <a:graphicData uri="http://schemas.openxmlformats.org/drawingml/2006/picture">
                          <pic:pic xmlns:pic="http://schemas.openxmlformats.org/drawingml/2006/picture">
                            <pic:nvPicPr>
                              <pic:cNvPr id="104" name="Picture_245_SpCnt_6"/>
                              <pic:cNvPicPr/>
                              <pic:nvPr/>
                            </pic:nvPicPr>
                            <pic:blipFill>
                              <a:blip r:embed="rId12"/>
                              <a:stretch/>
                            </pic:blipFill>
                            <pic:spPr bwMode="auto">
                              <a:xfrm>
                                <a:off x="0" y="0"/>
                                <a:ext cx="57150" cy="1492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6371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0</wp:posOffset>
                      </wp:positionH>
                      <wp:positionV relativeFrom="paragraph">
                        <wp:posOffset>0</wp:posOffset>
                      </wp:positionV>
                      <wp:extent cx="57150" cy="149225"/>
                      <wp:effectExtent l="0" t="0" r="0" b="0"/>
                      <wp:wrapNone/>
                      <wp:docPr id="105" name="Picture_204_SpCnt_12"/>
                      <wp:cNvGraphicFramePr/>
                      <a:graphic xmlns:a="http://schemas.openxmlformats.org/drawingml/2006/main">
                        <a:graphicData uri="http://schemas.openxmlformats.org/drawingml/2006/picture">
                          <pic:pic xmlns:pic="http://schemas.openxmlformats.org/drawingml/2006/picture">
                            <pic:nvPicPr>
                              <pic:cNvPr id="105" name="Picture_204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6473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0</wp:posOffset>
                      </wp:positionH>
                      <wp:positionV relativeFrom="paragraph">
                        <wp:posOffset>0</wp:posOffset>
                      </wp:positionV>
                      <wp:extent cx="57150" cy="149225"/>
                      <wp:effectExtent l="0" t="0" r="0" b="0"/>
                      <wp:wrapNone/>
                      <wp:docPr id="106" name="Picture_200_SpCnt_12"/>
                      <wp:cNvGraphicFramePr/>
                      <a:graphic xmlns:a="http://schemas.openxmlformats.org/drawingml/2006/main">
                        <a:graphicData uri="http://schemas.openxmlformats.org/drawingml/2006/picture">
                          <pic:pic xmlns:pic="http://schemas.openxmlformats.org/drawingml/2006/picture">
                            <pic:nvPicPr>
                              <pic:cNvPr id="106" name="Picture_200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576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0</wp:posOffset>
                      </wp:positionH>
                      <wp:positionV relativeFrom="paragraph">
                        <wp:posOffset>0</wp:posOffset>
                      </wp:positionV>
                      <wp:extent cx="57150" cy="149225"/>
                      <wp:effectExtent l="0" t="0" r="0" b="0"/>
                      <wp:wrapNone/>
                      <wp:docPr id="107" name="Picture_197_SpCnt_12"/>
                      <wp:cNvGraphicFramePr/>
                      <a:graphic xmlns:a="http://schemas.openxmlformats.org/drawingml/2006/main">
                        <a:graphicData uri="http://schemas.openxmlformats.org/drawingml/2006/picture">
                          <pic:pic xmlns:pic="http://schemas.openxmlformats.org/drawingml/2006/picture">
                            <pic:nvPicPr>
                              <pic:cNvPr id="107" name="Picture_197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678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0</wp:posOffset>
                      </wp:positionH>
                      <wp:positionV relativeFrom="paragraph">
                        <wp:posOffset>0</wp:posOffset>
                      </wp:positionV>
                      <wp:extent cx="57150" cy="149225"/>
                      <wp:effectExtent l="0" t="0" r="0" b="0"/>
                      <wp:wrapNone/>
                      <wp:docPr id="108" name="Picture_204_SpCnt_13"/>
                      <wp:cNvGraphicFramePr/>
                      <a:graphic xmlns:a="http://schemas.openxmlformats.org/drawingml/2006/main">
                        <a:graphicData uri="http://schemas.openxmlformats.org/drawingml/2006/picture">
                          <pic:pic xmlns:pic="http://schemas.openxmlformats.org/drawingml/2006/picture">
                            <pic:nvPicPr>
                              <pic:cNvPr id="108" name="Picture_204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780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0</wp:posOffset>
                      </wp:positionH>
                      <wp:positionV relativeFrom="paragraph">
                        <wp:posOffset>0</wp:posOffset>
                      </wp:positionV>
                      <wp:extent cx="57150" cy="149225"/>
                      <wp:effectExtent l="0" t="0" r="0" b="0"/>
                      <wp:wrapNone/>
                      <wp:docPr id="109" name="Picture_200_SpCnt_13"/>
                      <wp:cNvGraphicFramePr/>
                      <a:graphic xmlns:a="http://schemas.openxmlformats.org/drawingml/2006/main">
                        <a:graphicData uri="http://schemas.openxmlformats.org/drawingml/2006/picture">
                          <pic:pic xmlns:pic="http://schemas.openxmlformats.org/drawingml/2006/picture">
                            <pic:nvPicPr>
                              <pic:cNvPr id="109" name="Picture_200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883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0</wp:posOffset>
                      </wp:positionH>
                      <wp:positionV relativeFrom="paragraph">
                        <wp:posOffset>0</wp:posOffset>
                      </wp:positionV>
                      <wp:extent cx="57150" cy="149225"/>
                      <wp:effectExtent l="0" t="0" r="0" b="0"/>
                      <wp:wrapNone/>
                      <wp:docPr id="110" name="Picture_197_SpCnt_13"/>
                      <wp:cNvGraphicFramePr/>
                      <a:graphic xmlns:a="http://schemas.openxmlformats.org/drawingml/2006/main">
                        <a:graphicData uri="http://schemas.openxmlformats.org/drawingml/2006/picture">
                          <pic:pic xmlns:pic="http://schemas.openxmlformats.org/drawingml/2006/picture">
                            <pic:nvPicPr>
                              <pic:cNvPr id="110" name="Picture_197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985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0</wp:posOffset>
                      </wp:positionH>
                      <wp:positionV relativeFrom="paragraph">
                        <wp:posOffset>0</wp:posOffset>
                      </wp:positionV>
                      <wp:extent cx="57150" cy="149225"/>
                      <wp:effectExtent l="0" t="0" r="0" b="0"/>
                      <wp:wrapNone/>
                      <wp:docPr id="111" name="Picture_248_SpCnt_7"/>
                      <wp:cNvGraphicFramePr/>
                      <a:graphic xmlns:a="http://schemas.openxmlformats.org/drawingml/2006/main">
                        <a:graphicData uri="http://schemas.openxmlformats.org/drawingml/2006/picture">
                          <pic:pic xmlns:pic="http://schemas.openxmlformats.org/drawingml/2006/picture">
                            <pic:nvPicPr>
                              <pic:cNvPr id="111" name="Picture_248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7088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0</wp:posOffset>
                      </wp:positionH>
                      <wp:positionV relativeFrom="paragraph">
                        <wp:posOffset>0</wp:posOffset>
                      </wp:positionV>
                      <wp:extent cx="57150" cy="149225"/>
                      <wp:effectExtent l="0" t="0" r="0" b="0"/>
                      <wp:wrapNone/>
                      <wp:docPr id="112" name="Picture_246_SpCnt_7"/>
                      <wp:cNvGraphicFramePr/>
                      <a:graphic xmlns:a="http://schemas.openxmlformats.org/drawingml/2006/main">
                        <a:graphicData uri="http://schemas.openxmlformats.org/drawingml/2006/picture">
                          <pic:pic xmlns:pic="http://schemas.openxmlformats.org/drawingml/2006/picture">
                            <pic:nvPicPr>
                              <pic:cNvPr id="112" name="Picture_246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7190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0</wp:posOffset>
                      </wp:positionH>
                      <wp:positionV relativeFrom="paragraph">
                        <wp:posOffset>0</wp:posOffset>
                      </wp:positionV>
                      <wp:extent cx="57150" cy="149225"/>
                      <wp:effectExtent l="0" t="0" r="0" b="0"/>
                      <wp:wrapNone/>
                      <wp:docPr id="113" name="Picture_245_SpCnt_7"/>
                      <wp:cNvGraphicFramePr/>
                      <a:graphic xmlns:a="http://schemas.openxmlformats.org/drawingml/2006/main">
                        <a:graphicData uri="http://schemas.openxmlformats.org/drawingml/2006/picture">
                          <pic:pic xmlns:pic="http://schemas.openxmlformats.org/drawingml/2006/picture">
                            <pic:nvPicPr>
                              <pic:cNvPr id="113" name="Picture_245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7292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0</wp:posOffset>
                      </wp:positionH>
                      <wp:positionV relativeFrom="paragraph">
                        <wp:posOffset>0</wp:posOffset>
                      </wp:positionV>
                      <wp:extent cx="57150" cy="149225"/>
                      <wp:effectExtent l="0" t="0" r="0" b="0"/>
                      <wp:wrapNone/>
                      <wp:docPr id="114" name="Picture_409_SpCnt_7"/>
                      <wp:cNvGraphicFramePr/>
                      <a:graphic xmlns:a="http://schemas.openxmlformats.org/drawingml/2006/main">
                        <a:graphicData uri="http://schemas.openxmlformats.org/drawingml/2006/picture">
                          <pic:pic xmlns:pic="http://schemas.openxmlformats.org/drawingml/2006/picture">
                            <pic:nvPicPr>
                              <pic:cNvPr id="114" name="Picture_409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7395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0</wp:posOffset>
                      </wp:positionH>
                      <wp:positionV relativeFrom="paragraph">
                        <wp:posOffset>0</wp:posOffset>
                      </wp:positionV>
                      <wp:extent cx="57150" cy="149225"/>
                      <wp:effectExtent l="0" t="0" r="0" b="0"/>
                      <wp:wrapNone/>
                      <wp:docPr id="115" name="Picture_408_SpCnt_7"/>
                      <wp:cNvGraphicFramePr/>
                      <a:graphic xmlns:a="http://schemas.openxmlformats.org/drawingml/2006/main">
                        <a:graphicData uri="http://schemas.openxmlformats.org/drawingml/2006/picture">
                          <pic:pic xmlns:pic="http://schemas.openxmlformats.org/drawingml/2006/picture">
                            <pic:nvPicPr>
                              <pic:cNvPr id="115" name="Picture_408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7497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0</wp:posOffset>
                      </wp:positionH>
                      <wp:positionV relativeFrom="paragraph">
                        <wp:posOffset>0</wp:posOffset>
                      </wp:positionV>
                      <wp:extent cx="57150" cy="149225"/>
                      <wp:effectExtent l="0" t="0" r="0" b="0"/>
                      <wp:wrapNone/>
                      <wp:docPr id="116" name="Picture_407_SpCnt_7"/>
                      <wp:cNvGraphicFramePr/>
                      <a:graphic xmlns:a="http://schemas.openxmlformats.org/drawingml/2006/main">
                        <a:graphicData uri="http://schemas.openxmlformats.org/drawingml/2006/picture">
                          <pic:pic xmlns:pic="http://schemas.openxmlformats.org/drawingml/2006/picture">
                            <pic:nvPicPr>
                              <pic:cNvPr id="116" name="Picture_407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600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0</wp:posOffset>
                      </wp:positionH>
                      <wp:positionV relativeFrom="paragraph">
                        <wp:posOffset>0</wp:posOffset>
                      </wp:positionV>
                      <wp:extent cx="57150" cy="149225"/>
                      <wp:effectExtent l="0" t="0" r="0" b="0"/>
                      <wp:wrapNone/>
                      <wp:docPr id="117" name="Picture_197_SpCnt_14"/>
                      <wp:cNvGraphicFramePr/>
                      <a:graphic xmlns:a="http://schemas.openxmlformats.org/drawingml/2006/main">
                        <a:graphicData uri="http://schemas.openxmlformats.org/drawingml/2006/picture">
                          <pic:pic xmlns:pic="http://schemas.openxmlformats.org/drawingml/2006/picture">
                            <pic:nvPicPr>
                              <pic:cNvPr id="117" name="Picture_197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702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0</wp:posOffset>
                      </wp:positionH>
                      <wp:positionV relativeFrom="paragraph">
                        <wp:posOffset>0</wp:posOffset>
                      </wp:positionV>
                      <wp:extent cx="57150" cy="149225"/>
                      <wp:effectExtent l="0" t="0" r="0" b="0"/>
                      <wp:wrapNone/>
                      <wp:docPr id="118" name="Picture_200_SpCnt_14"/>
                      <wp:cNvGraphicFramePr/>
                      <a:graphic xmlns:a="http://schemas.openxmlformats.org/drawingml/2006/main">
                        <a:graphicData uri="http://schemas.openxmlformats.org/drawingml/2006/picture">
                          <pic:pic xmlns:pic="http://schemas.openxmlformats.org/drawingml/2006/picture">
                            <pic:nvPicPr>
                              <pic:cNvPr id="118" name="Picture_200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804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0</wp:posOffset>
                      </wp:positionH>
                      <wp:positionV relativeFrom="paragraph">
                        <wp:posOffset>0</wp:posOffset>
                      </wp:positionV>
                      <wp:extent cx="57150" cy="149225"/>
                      <wp:effectExtent l="0" t="0" r="0" b="0"/>
                      <wp:wrapNone/>
                      <wp:docPr id="119" name="Picture_197_SpCnt_15"/>
                      <wp:cNvGraphicFramePr/>
                      <a:graphic xmlns:a="http://schemas.openxmlformats.org/drawingml/2006/main">
                        <a:graphicData uri="http://schemas.openxmlformats.org/drawingml/2006/picture">
                          <pic:pic xmlns:pic="http://schemas.openxmlformats.org/drawingml/2006/picture">
                            <pic:nvPicPr>
                              <pic:cNvPr id="119" name="Picture_197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907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0</wp:posOffset>
                      </wp:positionH>
                      <wp:positionV relativeFrom="paragraph">
                        <wp:posOffset>0</wp:posOffset>
                      </wp:positionV>
                      <wp:extent cx="57150" cy="149225"/>
                      <wp:effectExtent l="0" t="0" r="0" b="0"/>
                      <wp:wrapNone/>
                      <wp:docPr id="120" name="Picture_247_SpCnt_7"/>
                      <wp:cNvGraphicFramePr/>
                      <a:graphic xmlns:a="http://schemas.openxmlformats.org/drawingml/2006/main">
                        <a:graphicData uri="http://schemas.openxmlformats.org/drawingml/2006/picture">
                          <pic:pic xmlns:pic="http://schemas.openxmlformats.org/drawingml/2006/picture">
                            <pic:nvPicPr>
                              <pic:cNvPr id="120" name="Picture_247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8009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0</wp:posOffset>
                      </wp:positionH>
                      <wp:positionV relativeFrom="paragraph">
                        <wp:posOffset>0</wp:posOffset>
                      </wp:positionV>
                      <wp:extent cx="57150" cy="149225"/>
                      <wp:effectExtent l="0" t="0" r="0" b="0"/>
                      <wp:wrapNone/>
                      <wp:docPr id="121" name="Picture_204_SpCnt_14"/>
                      <wp:cNvGraphicFramePr/>
                      <a:graphic xmlns:a="http://schemas.openxmlformats.org/drawingml/2006/main">
                        <a:graphicData uri="http://schemas.openxmlformats.org/drawingml/2006/picture">
                          <pic:pic xmlns:pic="http://schemas.openxmlformats.org/drawingml/2006/picture">
                            <pic:nvPicPr>
                              <pic:cNvPr id="121" name="Picture_204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8112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0</wp:posOffset>
                      </wp:positionH>
                      <wp:positionV relativeFrom="paragraph">
                        <wp:posOffset>0</wp:posOffset>
                      </wp:positionV>
                      <wp:extent cx="57150" cy="149225"/>
                      <wp:effectExtent l="0" t="0" r="0" b="0"/>
                      <wp:wrapNone/>
                      <wp:docPr id="122" name="Picture_200_SpCnt_15"/>
                      <wp:cNvGraphicFramePr/>
                      <a:graphic xmlns:a="http://schemas.openxmlformats.org/drawingml/2006/main">
                        <a:graphicData uri="http://schemas.openxmlformats.org/drawingml/2006/picture">
                          <pic:pic xmlns:pic="http://schemas.openxmlformats.org/drawingml/2006/picture">
                            <pic:nvPicPr>
                              <pic:cNvPr id="122" name="Picture_200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8214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0</wp:posOffset>
                      </wp:positionH>
                      <wp:positionV relativeFrom="paragraph">
                        <wp:posOffset>0</wp:posOffset>
                      </wp:positionV>
                      <wp:extent cx="57150" cy="149225"/>
                      <wp:effectExtent l="0" t="0" r="0" b="0"/>
                      <wp:wrapNone/>
                      <wp:docPr id="123" name="Picture_204_SpCnt_15"/>
                      <wp:cNvGraphicFramePr/>
                      <a:graphic xmlns:a="http://schemas.openxmlformats.org/drawingml/2006/main">
                        <a:graphicData uri="http://schemas.openxmlformats.org/drawingml/2006/picture">
                          <pic:pic xmlns:pic="http://schemas.openxmlformats.org/drawingml/2006/picture">
                            <pic:nvPicPr>
                              <pic:cNvPr id="123" name="Picture_204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8316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0</wp:posOffset>
                      </wp:positionH>
                      <wp:positionV relativeFrom="paragraph">
                        <wp:posOffset>0</wp:posOffset>
                      </wp:positionV>
                      <wp:extent cx="57150" cy="149225"/>
                      <wp:effectExtent l="0" t="0" r="0" b="0"/>
                      <wp:wrapNone/>
                      <wp:docPr id="124" name="Picture_205_SpCnt_12"/>
                      <wp:cNvGraphicFramePr/>
                      <a:graphic xmlns:a="http://schemas.openxmlformats.org/drawingml/2006/main">
                        <a:graphicData uri="http://schemas.openxmlformats.org/drawingml/2006/picture">
                          <pic:pic xmlns:pic="http://schemas.openxmlformats.org/drawingml/2006/picture">
                            <pic:nvPicPr>
                              <pic:cNvPr id="124" name="Picture_205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8419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0</wp:posOffset>
                      </wp:positionH>
                      <wp:positionV relativeFrom="paragraph">
                        <wp:posOffset>0</wp:posOffset>
                      </wp:positionV>
                      <wp:extent cx="57150" cy="149225"/>
                      <wp:effectExtent l="0" t="0" r="0" b="0"/>
                      <wp:wrapNone/>
                      <wp:docPr id="125" name="Picture_410_SpCnt_6"/>
                      <wp:cNvGraphicFramePr/>
                      <a:graphic xmlns:a="http://schemas.openxmlformats.org/drawingml/2006/main">
                        <a:graphicData uri="http://schemas.openxmlformats.org/drawingml/2006/picture">
                          <pic:pic xmlns:pic="http://schemas.openxmlformats.org/drawingml/2006/picture">
                            <pic:nvPicPr>
                              <pic:cNvPr id="125" name="Picture_410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8521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0</wp:posOffset>
                      </wp:positionH>
                      <wp:positionV relativeFrom="paragraph">
                        <wp:posOffset>0</wp:posOffset>
                      </wp:positionV>
                      <wp:extent cx="57150" cy="149225"/>
                      <wp:effectExtent l="0" t="0" r="0" b="0"/>
                      <wp:wrapNone/>
                      <wp:docPr id="126" name="Picture_205_SpCnt_13"/>
                      <wp:cNvGraphicFramePr/>
                      <a:graphic xmlns:a="http://schemas.openxmlformats.org/drawingml/2006/main">
                        <a:graphicData uri="http://schemas.openxmlformats.org/drawingml/2006/picture">
                          <pic:pic xmlns:pic="http://schemas.openxmlformats.org/drawingml/2006/picture">
                            <pic:nvPicPr>
                              <pic:cNvPr id="126" name="Picture_205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624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0</wp:posOffset>
                      </wp:positionH>
                      <wp:positionV relativeFrom="paragraph">
                        <wp:posOffset>0</wp:posOffset>
                      </wp:positionV>
                      <wp:extent cx="57150" cy="149225"/>
                      <wp:effectExtent l="0" t="0" r="0" b="0"/>
                      <wp:wrapNone/>
                      <wp:docPr id="127" name="Picture_205_SpCnt_14"/>
                      <wp:cNvGraphicFramePr/>
                      <a:graphic xmlns:a="http://schemas.openxmlformats.org/drawingml/2006/main">
                        <a:graphicData uri="http://schemas.openxmlformats.org/drawingml/2006/picture">
                          <pic:pic xmlns:pic="http://schemas.openxmlformats.org/drawingml/2006/picture">
                            <pic:nvPicPr>
                              <pic:cNvPr id="127" name="Picture_205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726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0</wp:posOffset>
                      </wp:positionH>
                      <wp:positionV relativeFrom="paragraph">
                        <wp:posOffset>0</wp:posOffset>
                      </wp:positionV>
                      <wp:extent cx="57150" cy="149225"/>
                      <wp:effectExtent l="0" t="0" r="0" b="0"/>
                      <wp:wrapNone/>
                      <wp:docPr id="128" name="Picture_410_SpCnt_7"/>
                      <wp:cNvGraphicFramePr/>
                      <a:graphic xmlns:a="http://schemas.openxmlformats.org/drawingml/2006/main">
                        <a:graphicData uri="http://schemas.openxmlformats.org/drawingml/2006/picture">
                          <pic:pic xmlns:pic="http://schemas.openxmlformats.org/drawingml/2006/picture">
                            <pic:nvPicPr>
                              <pic:cNvPr id="128" name="Picture_410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828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0</wp:posOffset>
                      </wp:positionH>
                      <wp:positionV relativeFrom="paragraph">
                        <wp:posOffset>0</wp:posOffset>
                      </wp:positionV>
                      <wp:extent cx="57150" cy="149225"/>
                      <wp:effectExtent l="0" t="0" r="0" b="0"/>
                      <wp:wrapNone/>
                      <wp:docPr id="129" name="Picture_205_SpCnt_15"/>
                      <wp:cNvGraphicFramePr/>
                      <a:graphic xmlns:a="http://schemas.openxmlformats.org/drawingml/2006/main">
                        <a:graphicData uri="http://schemas.openxmlformats.org/drawingml/2006/picture">
                          <pic:pic xmlns:pic="http://schemas.openxmlformats.org/drawingml/2006/picture">
                            <pic:nvPicPr>
                              <pic:cNvPr id="129" name="Picture_205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931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p>
        </w:tc>
      </w:tr>
      <w:tr>
        <w:trPr>
          <w:trHeight w:val="51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AI算力模块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#1.整机最大外形尺寸约260× 289 ×47（mm）；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#2.整机正面采用铝合金外壳设计，外部无任何可见的内部功能模块连接线；采用顶部出线，出线接口使用线槽屏蔽盖，出线美观；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#3.整机壁挂式固定方式，挂壁后使用螺丝进行锁紧固定，避免模块脱落；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#4.整机接口非外接拓展，不少于2路千兆以太网交换接口；不少于3路支持PoE功能的千兆以太网接口，支持级联PoE功能的网络摄像机和阵列麦克风； 不少于1路MicroSD卡接口，支持通过MicroSD卡升级整机系统软件；不少于1路Type-C 接口，支持调试和控制功能；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#5.在休眠模式下，短按唤醒算力模块；在任何情况下长按底部按键5秒以上，系统重启；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#6.整机处理器内核不低于8核A53内核芯片，主频≥2.3GHz；系统支持不低于linux 5.4，采用LPDDR4内存，内存容量大于等于16GB；采用SSD存储，支持TCG-OPAL 2.0硬件加密功能，存储容量大于等于256GB；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▲7.整机采用国产AI算力芯片，峰值算力不低于32TOPS@INT8峰值算力，支持H.264&amp;H.265解码格式，解码能力支持32x1080P@25fps，8x4K@25fps，不低于8K ；编码能力不低于12x1080P@25fps, 不低于3x4K@25fps，不低于8K。支持JPEG图片编解码：1080P@600fps，不低于32768*32768。</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（提供具有CMA标识的第三方检测机构出具的检测报告原件扫描件或产品白皮书或官网截图）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#8.整机存储器支持TCG-OPAL 2.0硬件加密功能，既不影响硬盘读写性能又保障用户数据安全，每一块存储器密钥均根据特定算法生成，和设备一一绑定；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#9.整机支持通过web管理后台实现定时开关机、远程关机功能、查看设备在线状态；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#10.支持云端在线系统固件升级。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0</wp:posOffset>
                      </wp:positionH>
                      <wp:positionV relativeFrom="paragraph">
                        <wp:posOffset>0</wp:posOffset>
                      </wp:positionV>
                      <wp:extent cx="57150" cy="139700"/>
                      <wp:effectExtent l="0" t="0" r="0" b="0"/>
                      <wp:wrapNone/>
                      <wp:docPr id="130" name="Picture_410_SpCnt_8"/>
                      <wp:cNvGraphicFramePr/>
                      <a:graphic xmlns:a="http://schemas.openxmlformats.org/drawingml/2006/main">
                        <a:graphicData uri="http://schemas.openxmlformats.org/drawingml/2006/picture">
                          <pic:pic xmlns:pic="http://schemas.openxmlformats.org/drawingml/2006/picture">
                            <pic:nvPicPr>
                              <pic:cNvPr id="130" name="Picture_410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9033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0</wp:posOffset>
                      </wp:positionH>
                      <wp:positionV relativeFrom="paragraph">
                        <wp:posOffset>0</wp:posOffset>
                      </wp:positionV>
                      <wp:extent cx="57150" cy="139700"/>
                      <wp:effectExtent l="0" t="0" r="0" b="0"/>
                      <wp:wrapNone/>
                      <wp:docPr id="131" name="Picture_409_SpCnt_8"/>
                      <wp:cNvGraphicFramePr/>
                      <a:graphic xmlns:a="http://schemas.openxmlformats.org/drawingml/2006/main">
                        <a:graphicData uri="http://schemas.openxmlformats.org/drawingml/2006/picture">
                          <pic:pic xmlns:pic="http://schemas.openxmlformats.org/drawingml/2006/picture">
                            <pic:nvPicPr>
                              <pic:cNvPr id="131" name="Picture_409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9136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0</wp:posOffset>
                      </wp:positionH>
                      <wp:positionV relativeFrom="paragraph">
                        <wp:posOffset>0</wp:posOffset>
                      </wp:positionV>
                      <wp:extent cx="57150" cy="139700"/>
                      <wp:effectExtent l="0" t="0" r="0" b="0"/>
                      <wp:wrapNone/>
                      <wp:docPr id="132" name="Picture_246_SpCnt_8"/>
                      <wp:cNvGraphicFramePr/>
                      <a:graphic xmlns:a="http://schemas.openxmlformats.org/drawingml/2006/main">
                        <a:graphicData uri="http://schemas.openxmlformats.org/drawingml/2006/picture">
                          <pic:pic xmlns:pic="http://schemas.openxmlformats.org/drawingml/2006/picture">
                            <pic:nvPicPr>
                              <pic:cNvPr id="132" name="Picture_246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9238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0</wp:posOffset>
                      </wp:positionH>
                      <wp:positionV relativeFrom="paragraph">
                        <wp:posOffset>0</wp:posOffset>
                      </wp:positionV>
                      <wp:extent cx="57150" cy="139700"/>
                      <wp:effectExtent l="0" t="0" r="0" b="0"/>
                      <wp:wrapNone/>
                      <wp:docPr id="133" name="Picture_200_SpCnt_16"/>
                      <wp:cNvGraphicFramePr/>
                      <a:graphic xmlns:a="http://schemas.openxmlformats.org/drawingml/2006/main">
                        <a:graphicData uri="http://schemas.openxmlformats.org/drawingml/2006/picture">
                          <pic:pic xmlns:pic="http://schemas.openxmlformats.org/drawingml/2006/picture">
                            <pic:nvPicPr>
                              <pic:cNvPr id="133" name="Picture_200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9340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0</wp:posOffset>
                      </wp:positionH>
                      <wp:positionV relativeFrom="paragraph">
                        <wp:posOffset>0</wp:posOffset>
                      </wp:positionV>
                      <wp:extent cx="57150" cy="139700"/>
                      <wp:effectExtent l="0" t="0" r="0" b="0"/>
                      <wp:wrapNone/>
                      <wp:docPr id="134" name="Picture_200_SpCnt_17"/>
                      <wp:cNvGraphicFramePr/>
                      <a:graphic xmlns:a="http://schemas.openxmlformats.org/drawingml/2006/main">
                        <a:graphicData uri="http://schemas.openxmlformats.org/drawingml/2006/picture">
                          <pic:pic xmlns:pic="http://schemas.openxmlformats.org/drawingml/2006/picture">
                            <pic:nvPicPr>
                              <pic:cNvPr id="134" name="Picture_200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9443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0</wp:posOffset>
                      </wp:positionH>
                      <wp:positionV relativeFrom="paragraph">
                        <wp:posOffset>0</wp:posOffset>
                      </wp:positionV>
                      <wp:extent cx="57150" cy="139700"/>
                      <wp:effectExtent l="0" t="0" r="0" b="0"/>
                      <wp:wrapNone/>
                      <wp:docPr id="135" name="Picture_407_SpCnt_8"/>
                      <wp:cNvGraphicFramePr/>
                      <a:graphic xmlns:a="http://schemas.openxmlformats.org/drawingml/2006/main">
                        <a:graphicData uri="http://schemas.openxmlformats.org/drawingml/2006/picture">
                          <pic:pic xmlns:pic="http://schemas.openxmlformats.org/drawingml/2006/picture">
                            <pic:nvPicPr>
                              <pic:cNvPr id="135" name="Picture_407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9545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0</wp:posOffset>
                      </wp:positionH>
                      <wp:positionV relativeFrom="paragraph">
                        <wp:posOffset>0</wp:posOffset>
                      </wp:positionV>
                      <wp:extent cx="57150" cy="139700"/>
                      <wp:effectExtent l="0" t="0" r="0" b="0"/>
                      <wp:wrapNone/>
                      <wp:docPr id="136" name="Picture_247_SpCnt_8"/>
                      <wp:cNvGraphicFramePr/>
                      <a:graphic xmlns:a="http://schemas.openxmlformats.org/drawingml/2006/main">
                        <a:graphicData uri="http://schemas.openxmlformats.org/drawingml/2006/picture">
                          <pic:pic xmlns:pic="http://schemas.openxmlformats.org/drawingml/2006/picture">
                            <pic:nvPicPr>
                              <pic:cNvPr id="136" name="Picture_247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648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0</wp:posOffset>
                      </wp:positionH>
                      <wp:positionV relativeFrom="paragraph">
                        <wp:posOffset>0</wp:posOffset>
                      </wp:positionV>
                      <wp:extent cx="57150" cy="139700"/>
                      <wp:effectExtent l="0" t="0" r="0" b="0"/>
                      <wp:wrapNone/>
                      <wp:docPr id="137" name="Picture_197_SpCnt_16"/>
                      <wp:cNvGraphicFramePr/>
                      <a:graphic xmlns:a="http://schemas.openxmlformats.org/drawingml/2006/main">
                        <a:graphicData uri="http://schemas.openxmlformats.org/drawingml/2006/picture">
                          <pic:pic xmlns:pic="http://schemas.openxmlformats.org/drawingml/2006/picture">
                            <pic:nvPicPr>
                              <pic:cNvPr id="137" name="Picture_197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750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0</wp:posOffset>
                      </wp:positionH>
                      <wp:positionV relativeFrom="paragraph">
                        <wp:posOffset>0</wp:posOffset>
                      </wp:positionV>
                      <wp:extent cx="57150" cy="139700"/>
                      <wp:effectExtent l="0" t="0" r="0" b="0"/>
                      <wp:wrapNone/>
                      <wp:docPr id="138" name="Picture_245_SpCnt_8"/>
                      <wp:cNvGraphicFramePr/>
                      <a:graphic xmlns:a="http://schemas.openxmlformats.org/drawingml/2006/main">
                        <a:graphicData uri="http://schemas.openxmlformats.org/drawingml/2006/picture">
                          <pic:pic xmlns:pic="http://schemas.openxmlformats.org/drawingml/2006/picture">
                            <pic:nvPicPr>
                              <pic:cNvPr id="138" name="Picture_245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852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0</wp:posOffset>
                      </wp:positionH>
                      <wp:positionV relativeFrom="paragraph">
                        <wp:posOffset>0</wp:posOffset>
                      </wp:positionV>
                      <wp:extent cx="57150" cy="139700"/>
                      <wp:effectExtent l="0" t="0" r="0" b="0"/>
                      <wp:wrapNone/>
                      <wp:docPr id="139" name="Picture_204_SpCnt_16"/>
                      <wp:cNvGraphicFramePr/>
                      <a:graphic xmlns:a="http://schemas.openxmlformats.org/drawingml/2006/main">
                        <a:graphicData uri="http://schemas.openxmlformats.org/drawingml/2006/picture">
                          <pic:pic xmlns:pic="http://schemas.openxmlformats.org/drawingml/2006/picture">
                            <pic:nvPicPr>
                              <pic:cNvPr id="139" name="Picture_204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955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0</wp:posOffset>
                      </wp:positionH>
                      <wp:positionV relativeFrom="paragraph">
                        <wp:posOffset>0</wp:posOffset>
                      </wp:positionV>
                      <wp:extent cx="57150" cy="139700"/>
                      <wp:effectExtent l="0" t="0" r="0" b="0"/>
                      <wp:wrapNone/>
                      <wp:docPr id="140" name="Picture_197_SpCnt_17"/>
                      <wp:cNvGraphicFramePr/>
                      <a:graphic xmlns:a="http://schemas.openxmlformats.org/drawingml/2006/main">
                        <a:graphicData uri="http://schemas.openxmlformats.org/drawingml/2006/picture">
                          <pic:pic xmlns:pic="http://schemas.openxmlformats.org/drawingml/2006/picture">
                            <pic:nvPicPr>
                              <pic:cNvPr id="140" name="Picture_197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80057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0</wp:posOffset>
                      </wp:positionH>
                      <wp:positionV relativeFrom="paragraph">
                        <wp:posOffset>0</wp:posOffset>
                      </wp:positionV>
                      <wp:extent cx="57150" cy="139700"/>
                      <wp:effectExtent l="0" t="0" r="0" b="0"/>
                      <wp:wrapNone/>
                      <wp:docPr id="141" name="Picture_409_SpCnt_9"/>
                      <wp:cNvGraphicFramePr/>
                      <a:graphic xmlns:a="http://schemas.openxmlformats.org/drawingml/2006/main">
                        <a:graphicData uri="http://schemas.openxmlformats.org/drawingml/2006/picture">
                          <pic:pic xmlns:pic="http://schemas.openxmlformats.org/drawingml/2006/picture">
                            <pic:nvPicPr>
                              <pic:cNvPr id="141" name="Picture_409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80160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0</wp:posOffset>
                      </wp:positionH>
                      <wp:positionV relativeFrom="paragraph">
                        <wp:posOffset>0</wp:posOffset>
                      </wp:positionV>
                      <wp:extent cx="57150" cy="139700"/>
                      <wp:effectExtent l="0" t="0" r="0" b="0"/>
                      <wp:wrapNone/>
                      <wp:docPr id="142" name="Picture_408_SpCnt_8"/>
                      <wp:cNvGraphicFramePr/>
                      <a:graphic xmlns:a="http://schemas.openxmlformats.org/drawingml/2006/main">
                        <a:graphicData uri="http://schemas.openxmlformats.org/drawingml/2006/picture">
                          <pic:pic xmlns:pic="http://schemas.openxmlformats.org/drawingml/2006/picture">
                            <pic:nvPicPr>
                              <pic:cNvPr id="142" name="Picture_408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80262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0</wp:posOffset>
                      </wp:positionH>
                      <wp:positionV relativeFrom="paragraph">
                        <wp:posOffset>0</wp:posOffset>
                      </wp:positionV>
                      <wp:extent cx="57150" cy="139700"/>
                      <wp:effectExtent l="0" t="0" r="0" b="0"/>
                      <wp:wrapNone/>
                      <wp:docPr id="143" name="Picture_248_SpCnt_8"/>
                      <wp:cNvGraphicFramePr/>
                      <a:graphic xmlns:a="http://schemas.openxmlformats.org/drawingml/2006/main">
                        <a:graphicData uri="http://schemas.openxmlformats.org/drawingml/2006/picture">
                          <pic:pic xmlns:pic="http://schemas.openxmlformats.org/drawingml/2006/picture">
                            <pic:nvPicPr>
                              <pic:cNvPr id="143" name="Picture_248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80364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0</wp:posOffset>
                      </wp:positionH>
                      <wp:positionV relativeFrom="paragraph">
                        <wp:posOffset>0</wp:posOffset>
                      </wp:positionV>
                      <wp:extent cx="57150" cy="139700"/>
                      <wp:effectExtent l="0" t="0" r="0" b="0"/>
                      <wp:wrapNone/>
                      <wp:docPr id="144" name="Picture_248_SpCnt_9"/>
                      <wp:cNvGraphicFramePr/>
                      <a:graphic xmlns:a="http://schemas.openxmlformats.org/drawingml/2006/main">
                        <a:graphicData uri="http://schemas.openxmlformats.org/drawingml/2006/picture">
                          <pic:pic xmlns:pic="http://schemas.openxmlformats.org/drawingml/2006/picture">
                            <pic:nvPicPr>
                              <pic:cNvPr id="144" name="Picture_248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80467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0</wp:posOffset>
                      </wp:positionH>
                      <wp:positionV relativeFrom="paragraph">
                        <wp:posOffset>0</wp:posOffset>
                      </wp:positionV>
                      <wp:extent cx="57150" cy="139700"/>
                      <wp:effectExtent l="0" t="0" r="0" b="0"/>
                      <wp:wrapNone/>
                      <wp:docPr id="145" name="Picture_204_SpCnt_17"/>
                      <wp:cNvGraphicFramePr/>
                      <a:graphic xmlns:a="http://schemas.openxmlformats.org/drawingml/2006/main">
                        <a:graphicData uri="http://schemas.openxmlformats.org/drawingml/2006/picture">
                          <pic:pic xmlns:pic="http://schemas.openxmlformats.org/drawingml/2006/picture">
                            <pic:nvPicPr>
                              <pic:cNvPr id="145" name="Picture_204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80569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0</wp:posOffset>
                      </wp:positionH>
                      <wp:positionV relativeFrom="paragraph">
                        <wp:posOffset>0</wp:posOffset>
                      </wp:positionV>
                      <wp:extent cx="57150" cy="139700"/>
                      <wp:effectExtent l="0" t="0" r="0" b="0"/>
                      <wp:wrapNone/>
                      <wp:docPr id="146" name="Picture_205_SpCnt_16"/>
                      <wp:cNvGraphicFramePr/>
                      <a:graphic xmlns:a="http://schemas.openxmlformats.org/drawingml/2006/main">
                        <a:graphicData uri="http://schemas.openxmlformats.org/drawingml/2006/picture">
                          <pic:pic xmlns:pic="http://schemas.openxmlformats.org/drawingml/2006/picture">
                            <pic:nvPicPr>
                              <pic:cNvPr id="146" name="Picture_205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80672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0</wp:posOffset>
                      </wp:positionH>
                      <wp:positionV relativeFrom="paragraph">
                        <wp:posOffset>0</wp:posOffset>
                      </wp:positionV>
                      <wp:extent cx="57150" cy="139700"/>
                      <wp:effectExtent l="0" t="0" r="0" b="0"/>
                      <wp:wrapNone/>
                      <wp:docPr id="147" name="Picture_200_SpCnt_18"/>
                      <wp:cNvGraphicFramePr/>
                      <a:graphic xmlns:a="http://schemas.openxmlformats.org/drawingml/2006/main">
                        <a:graphicData uri="http://schemas.openxmlformats.org/drawingml/2006/picture">
                          <pic:pic xmlns:pic="http://schemas.openxmlformats.org/drawingml/2006/picture">
                            <pic:nvPicPr>
                              <pic:cNvPr id="147" name="Picture_200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774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0</wp:posOffset>
                      </wp:positionH>
                      <wp:positionV relativeFrom="paragraph">
                        <wp:posOffset>0</wp:posOffset>
                      </wp:positionV>
                      <wp:extent cx="57150" cy="139700"/>
                      <wp:effectExtent l="0" t="0" r="0" b="0"/>
                      <wp:wrapNone/>
                      <wp:docPr id="148" name="Picture_204_SpCnt_18"/>
                      <wp:cNvGraphicFramePr/>
                      <a:graphic xmlns:a="http://schemas.openxmlformats.org/drawingml/2006/main">
                        <a:graphicData uri="http://schemas.openxmlformats.org/drawingml/2006/picture">
                          <pic:pic xmlns:pic="http://schemas.openxmlformats.org/drawingml/2006/picture">
                            <pic:nvPicPr>
                              <pic:cNvPr id="148" name="Picture_204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876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0</wp:posOffset>
                      </wp:positionH>
                      <wp:positionV relativeFrom="paragraph">
                        <wp:posOffset>0</wp:posOffset>
                      </wp:positionV>
                      <wp:extent cx="57150" cy="139700"/>
                      <wp:effectExtent l="0" t="0" r="0" b="0"/>
                      <wp:wrapNone/>
                      <wp:docPr id="149" name="Picture_205_SpCnt_17"/>
                      <wp:cNvGraphicFramePr/>
                      <a:graphic xmlns:a="http://schemas.openxmlformats.org/drawingml/2006/main">
                        <a:graphicData uri="http://schemas.openxmlformats.org/drawingml/2006/picture">
                          <pic:pic xmlns:pic="http://schemas.openxmlformats.org/drawingml/2006/picture">
                            <pic:nvPicPr>
                              <pic:cNvPr id="149" name="Picture_205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0979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0</wp:posOffset>
                      </wp:positionH>
                      <wp:positionV relativeFrom="paragraph">
                        <wp:posOffset>0</wp:posOffset>
                      </wp:positionV>
                      <wp:extent cx="57150" cy="139700"/>
                      <wp:effectExtent l="0" t="0" r="0" b="0"/>
                      <wp:wrapNone/>
                      <wp:docPr id="150" name="Picture_245_SpCnt_9"/>
                      <wp:cNvGraphicFramePr/>
                      <a:graphic xmlns:a="http://schemas.openxmlformats.org/drawingml/2006/main">
                        <a:graphicData uri="http://schemas.openxmlformats.org/drawingml/2006/picture">
                          <pic:pic xmlns:pic="http://schemas.openxmlformats.org/drawingml/2006/picture">
                            <pic:nvPicPr>
                              <pic:cNvPr id="150" name="Picture_245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1081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0</wp:posOffset>
                      </wp:positionH>
                      <wp:positionV relativeFrom="paragraph">
                        <wp:posOffset>0</wp:posOffset>
                      </wp:positionV>
                      <wp:extent cx="57150" cy="139700"/>
                      <wp:effectExtent l="0" t="0" r="0" b="0"/>
                      <wp:wrapNone/>
                      <wp:docPr id="151" name="Picture_410_SpCnt_9"/>
                      <wp:cNvGraphicFramePr/>
                      <a:graphic xmlns:a="http://schemas.openxmlformats.org/drawingml/2006/main">
                        <a:graphicData uri="http://schemas.openxmlformats.org/drawingml/2006/picture">
                          <pic:pic xmlns:pic="http://schemas.openxmlformats.org/drawingml/2006/picture">
                            <pic:nvPicPr>
                              <pic:cNvPr id="151" name="Picture_410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1184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0</wp:posOffset>
                      </wp:positionH>
                      <wp:positionV relativeFrom="paragraph">
                        <wp:posOffset>0</wp:posOffset>
                      </wp:positionV>
                      <wp:extent cx="57150" cy="139700"/>
                      <wp:effectExtent l="0" t="0" r="0" b="0"/>
                      <wp:wrapNone/>
                      <wp:docPr id="152" name="Picture_205_SpCnt_18"/>
                      <wp:cNvGraphicFramePr/>
                      <a:graphic xmlns:a="http://schemas.openxmlformats.org/drawingml/2006/main">
                        <a:graphicData uri="http://schemas.openxmlformats.org/drawingml/2006/picture">
                          <pic:pic xmlns:pic="http://schemas.openxmlformats.org/drawingml/2006/picture">
                            <pic:nvPicPr>
                              <pic:cNvPr id="152" name="Picture_205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1286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0</wp:posOffset>
                      </wp:positionH>
                      <wp:positionV relativeFrom="paragraph">
                        <wp:posOffset>0</wp:posOffset>
                      </wp:positionV>
                      <wp:extent cx="57150" cy="139700"/>
                      <wp:effectExtent l="0" t="0" r="0" b="0"/>
                      <wp:wrapNone/>
                      <wp:docPr id="153" name="Picture_204_SpCnt_19"/>
                      <wp:cNvGraphicFramePr/>
                      <a:graphic xmlns:a="http://schemas.openxmlformats.org/drawingml/2006/main">
                        <a:graphicData uri="http://schemas.openxmlformats.org/drawingml/2006/picture">
                          <pic:pic xmlns:pic="http://schemas.openxmlformats.org/drawingml/2006/picture">
                            <pic:nvPicPr>
                              <pic:cNvPr id="153" name="Picture_204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1388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0</wp:posOffset>
                      </wp:positionH>
                      <wp:positionV relativeFrom="paragraph">
                        <wp:posOffset>0</wp:posOffset>
                      </wp:positionV>
                      <wp:extent cx="57150" cy="139700"/>
                      <wp:effectExtent l="0" t="0" r="0" b="0"/>
                      <wp:wrapNone/>
                      <wp:docPr id="154" name="Picture_200_SpCnt_19"/>
                      <wp:cNvGraphicFramePr/>
                      <a:graphic xmlns:a="http://schemas.openxmlformats.org/drawingml/2006/main">
                        <a:graphicData uri="http://schemas.openxmlformats.org/drawingml/2006/picture">
                          <pic:pic xmlns:pic="http://schemas.openxmlformats.org/drawingml/2006/picture">
                            <pic:nvPicPr>
                              <pic:cNvPr id="154" name="Picture_200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1491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0</wp:posOffset>
                      </wp:positionH>
                      <wp:positionV relativeFrom="paragraph">
                        <wp:posOffset>0</wp:posOffset>
                      </wp:positionV>
                      <wp:extent cx="57150" cy="139700"/>
                      <wp:effectExtent l="0" t="0" r="0" b="0"/>
                      <wp:wrapNone/>
                      <wp:docPr id="155" name="Picture_197_SpCnt_18"/>
                      <wp:cNvGraphicFramePr/>
                      <a:graphic xmlns:a="http://schemas.openxmlformats.org/drawingml/2006/main">
                        <a:graphicData uri="http://schemas.openxmlformats.org/drawingml/2006/picture">
                          <pic:pic xmlns:pic="http://schemas.openxmlformats.org/drawingml/2006/picture">
                            <pic:nvPicPr>
                              <pic:cNvPr id="155" name="Picture_197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1593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0</wp:posOffset>
                      </wp:positionH>
                      <wp:positionV relativeFrom="paragraph">
                        <wp:posOffset>0</wp:posOffset>
                      </wp:positionV>
                      <wp:extent cx="57150" cy="139700"/>
                      <wp:effectExtent l="0" t="0" r="0" b="0"/>
                      <wp:wrapNone/>
                      <wp:docPr id="156" name="Picture_205_SpCnt_19"/>
                      <wp:cNvGraphicFramePr/>
                      <a:graphic xmlns:a="http://schemas.openxmlformats.org/drawingml/2006/main">
                        <a:graphicData uri="http://schemas.openxmlformats.org/drawingml/2006/picture">
                          <pic:pic xmlns:pic="http://schemas.openxmlformats.org/drawingml/2006/picture">
                            <pic:nvPicPr>
                              <pic:cNvPr id="156" name="Picture_205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1696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0</wp:posOffset>
                      </wp:positionH>
                      <wp:positionV relativeFrom="paragraph">
                        <wp:posOffset>0</wp:posOffset>
                      </wp:positionV>
                      <wp:extent cx="57150" cy="139700"/>
                      <wp:effectExtent l="0" t="0" r="0" b="0"/>
                      <wp:wrapNone/>
                      <wp:docPr id="157" name="Picture_247_SpCnt_9"/>
                      <wp:cNvGraphicFramePr/>
                      <a:graphic xmlns:a="http://schemas.openxmlformats.org/drawingml/2006/main">
                        <a:graphicData uri="http://schemas.openxmlformats.org/drawingml/2006/picture">
                          <pic:pic xmlns:pic="http://schemas.openxmlformats.org/drawingml/2006/picture">
                            <pic:nvPicPr>
                              <pic:cNvPr id="157" name="Picture_247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1798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0</wp:posOffset>
                      </wp:positionH>
                      <wp:positionV relativeFrom="paragraph">
                        <wp:posOffset>0</wp:posOffset>
                      </wp:positionV>
                      <wp:extent cx="57150" cy="139700"/>
                      <wp:effectExtent l="0" t="0" r="0" b="0"/>
                      <wp:wrapNone/>
                      <wp:docPr id="158" name="Picture_407_SpCnt_9"/>
                      <wp:cNvGraphicFramePr/>
                      <a:graphic xmlns:a="http://schemas.openxmlformats.org/drawingml/2006/main">
                        <a:graphicData uri="http://schemas.openxmlformats.org/drawingml/2006/picture">
                          <pic:pic xmlns:pic="http://schemas.openxmlformats.org/drawingml/2006/picture">
                            <pic:nvPicPr>
                              <pic:cNvPr id="158" name="Picture_407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1900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0</wp:posOffset>
                      </wp:positionH>
                      <wp:positionV relativeFrom="paragraph">
                        <wp:posOffset>0</wp:posOffset>
                      </wp:positionV>
                      <wp:extent cx="57150" cy="139700"/>
                      <wp:effectExtent l="0" t="0" r="0" b="0"/>
                      <wp:wrapNone/>
                      <wp:docPr id="159" name="Picture_246_SpCnt_9"/>
                      <wp:cNvGraphicFramePr/>
                      <a:graphic xmlns:a="http://schemas.openxmlformats.org/drawingml/2006/main">
                        <a:graphicData uri="http://schemas.openxmlformats.org/drawingml/2006/picture">
                          <pic:pic xmlns:pic="http://schemas.openxmlformats.org/drawingml/2006/picture">
                            <pic:nvPicPr>
                              <pic:cNvPr id="159" name="Picture_246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2003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0</wp:posOffset>
                      </wp:positionH>
                      <wp:positionV relativeFrom="paragraph">
                        <wp:posOffset>0</wp:posOffset>
                      </wp:positionV>
                      <wp:extent cx="57150" cy="139700"/>
                      <wp:effectExtent l="0" t="0" r="0" b="0"/>
                      <wp:wrapNone/>
                      <wp:docPr id="160" name="Picture_408_SpCnt_9"/>
                      <wp:cNvGraphicFramePr/>
                      <a:graphic xmlns:a="http://schemas.openxmlformats.org/drawingml/2006/main">
                        <a:graphicData uri="http://schemas.openxmlformats.org/drawingml/2006/picture">
                          <pic:pic xmlns:pic="http://schemas.openxmlformats.org/drawingml/2006/picture">
                            <pic:nvPicPr>
                              <pic:cNvPr id="160" name="Picture_408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2105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0</wp:posOffset>
                      </wp:positionH>
                      <wp:positionV relativeFrom="paragraph">
                        <wp:posOffset>0</wp:posOffset>
                      </wp:positionV>
                      <wp:extent cx="57150" cy="139700"/>
                      <wp:effectExtent l="0" t="0" r="0" b="0"/>
                      <wp:wrapNone/>
                      <wp:docPr id="161" name="Picture_197_SpCnt_19"/>
                      <wp:cNvGraphicFramePr/>
                      <a:graphic xmlns:a="http://schemas.openxmlformats.org/drawingml/2006/main">
                        <a:graphicData uri="http://schemas.openxmlformats.org/drawingml/2006/picture">
                          <pic:pic xmlns:pic="http://schemas.openxmlformats.org/drawingml/2006/picture">
                            <pic:nvPicPr>
                              <pic:cNvPr id="161" name="Picture_197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2208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p>
        </w:tc>
      </w:tr>
      <w:tr>
        <w:trPr>
          <w:trHeight w:val="612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4K教师观察摄像机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#1、产品采用一体化设计，内置4k摄像头和麦克风；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#2、摄像头水平视场角≥40°，对角线视场角≥45°，传感器有效像素≥800万，支持4K超高清影像输出；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▲3、提供3840×2160图像编码输出，同时向下兼容 1920×1080、1280×720 分辨率；</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#4、产品可同时提供3路编码输出，1路支持1920x1080分辨率的课堂实录画面，帧率可设置25fps、30fps；1路支持3840x2160分辨率；1路1920x1080分辨率板书画面，菜单设置帧率可选10/5/3/1 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#5、内置视频处理器采用四核处理器，linux 5.1及以上操作系统，≥512MB系统内存、≥128MB存储空间；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#6、在无需连接外网情况下，产品支持老师在教学过程书写的板书内容和老师遮挡分层处理，输出视频中老师身体遮挡板书内容实现透视可见，实现教学过程板书可视化；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#7、在无需连接外网情况下，产品支持老师在副屏位置书写板书的图像识别，可对画面内板书内容和人物进行分层； 支持人物的隐藏和透明度调整设置；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#8、产品支持H.264视频编码格式；视频码率设置范围：819Kbps ~ 12288Kbps；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#9、内置8阵列麦克风，拾音角度≥180°，麦克风拾音距离≥12m，音频处理采用4核音频处理芯片，配置≥64MB系统内存，≥256MB存储空间；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#10、产品接口含2路RJ45级联接口，PoE in支持RJ45音频输入，PoE out 支持网络级联和信息输出；1路DC接口；1个红绿双色指示灯，支持显示产品工作状态；1路针孔按键，支持复位重启设备功能；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#11、内置1个红绿双色指示灯，支持显示工作状态；工作状态包括：正常上电后状态、OTA升级状态、复位状态；正常工作状态为绿色；OTA升级，指示灯为绿色闪烁；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#12、支持2种供电方式，PoE和DC12V供电；其中一路为POE IN，另一路为POE OUT，支持给外部POE设备供电；只需要1路网线，即可实现供电及网络信号传输，支持同时输出全景输出和板书记忆多路画面；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#13、产品软件支持web端进行远程OTA在线升级。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4K学生观察摄像机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#1.整机采用一体化设计，内置四个摄像头和8阵列麦克风，支持PoE和DC12V直流供电；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#2.整机具备不少于2路RJ45接口；不少于1路3.5mm audio in 音频输入接口；不少于1路Type-C接口；不少于1路DC12V电源输入接口；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#3.整机具有≥2个工作状态LED指示灯，可分别指示音频系统工作状态指示和视频系统工作状态指示；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#4.产品内置专属的不低于4核音频CPU处理器，配置独立不低于64MB系统内存，不低于256MB存储空间；支持不低于8路麦克风数据处理，采样率不低于192k，AAC编码码率不低于480kbps；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机内置独立音频CPU处理器，采集音频拆分2路信号，一路用于课堂回放音频，一路用于AI语音分析；支持音频3A算法（自动增益控制（AGC）、自动抑制噪声（ANC）、自动回声消除（AEC）），提升麦克风拾音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#6.整机内置8阵列麦克风，拾音角度≥180°，可用于对教室环境音频进行采集，拾音距离≥12m时，信噪比不低于15dB；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#7.产品内置采用不低于4核视频处理器，操作系统版本linux 5.1及以上操作系统，≥1GB系统内存、≥8GB存储空间；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#8.整机内置非独立摄像头模组，同时输出至少 3 路视频流，同时支持课堂远程巡课、课堂教学数据采集、本地画面预览（拍照或视频录制）；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89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#1、产品采用一体化设计，内置6个传感器单元，组成环形阵列；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#2、产品内置阵列麦克风，360°全向拾音，麦克风拾音距离≥4m；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#3、产品音频处理采用4核国产音频处理芯片；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#4、产品接口含2路RJ45级联接口，Down支持RJ45音频输入，Up 支持网络级联和信息输出，同时支持PoE in电源；1路USB音频接口；2路3.5mm AUX接口，支持音频输入输出接口；1个红绿双色指示灯，支持显示产品工作状态；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#5、产品整机支持POE供电，其中一路为POE IN，另一路为POE OUT，支持给外部POE设备供电；</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17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课堂智能反馈系统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#1、系统支持通过物理按钮控制启动、停止，当系统运行时，有指示灯提示。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#2、系统支持通过整机设备的侧边栏控制启动、停止，启动后实时显示平均语速、讲授时长、讲授字数。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#3、系统支持在整机设备的侧边栏中查看运行状态，当设备异常时，会进行异常提示。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#4、系统支持对教室环境的3D还原重建，形成桌椅、讲台、一体机的真实环境建模，采集到的师生互动行为自动对应到具体课桌位置；支持正前方、左前方、右前方、左后方、右后方5种视角转换。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#5、在3D课堂孪生界面中，通过课桌的颜色深浅表示学生参与互动的活跃程度，基于学生上台次数、举手次数、问答次数计算学生活跃程度，颜色越深则代表越活跃。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#6、在3D课堂孪生界面中，支持点击课堂活跃热力图中的学生头像，查看该学生的师生互动视频片段，统计该学生在本节课的上台互动、举手次数、问答次数。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#7、在3D课堂孪生界面中，支持在地面上显示教师的巡堂轨迹，颜色越深代表停留时间越长。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系统根据教学内容自动生成师生问答、课堂互动、新课标落实三个维度的课堂反馈建议，可查看全部提问、符合知识性目标的提问、不合适的提问、提问优化建议、课堂互动建议、基于新课标的亮点和改进建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#9、系统支持统计课程时长、课堂中教师讲授时长、教师讲授字数、教师授课平均语速。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#10、系统自动统计教师授课、师生互动、小组讨论、课堂练习的时间分布情况，支持按照饼状图样式展示，展示不同课堂行为的整体时间占比。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#11、系统自动统计教师授课、师生互动、小组讨论、课堂练习的时间分布情况，支持按照时序图样式展示，展示不同课堂行为发生的顺序、时长。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#12、系统将课堂中老师和学生的声音转写为文字，按照前后文自动切割为不同的片段；片段支持展开查看详细文字，支持跳转到文字段落对应的视频片段。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#13、系统支持对语音转写中的师生问答进行自动识别，所有的提问自动高亮显示，支持将识别出的问答实录一键导出为云文档。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#14、系统支持对识别出的文字进行手动校准，支持对识别出的问答片段标注是否有效，被标注有效的问答片段，在播放器时间轴对应的时间点上会高亮显示。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#15、系统支持自动识别问题分类，按简单型、追问型、思考再答型、自问自答、无响应进行分类统计，通过柱状图表呈现。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#16、系统支持点击问答模式柱状图对该类型的提问进行筛选，问答实录中显示对应文字明细，文字明细会按师生角色区分，并自动进行分段分句，支持跳转到文字段落对应的视频片段。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系统支持通过弗兰德斯编码规则对课堂数据进行每秒1次的打点，自动计算出启发/指导比（I/D）、学生稳态比（PSSR）、教学内容比（CCR）、学生发言比（PIR）、教师提问比（TQR）的指标数值，通过雷达图呈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#18、系统支持将本堂课的弗兰德斯编码数值和标准数据进行对比，通过上下箭头呈现高于或低于标准数值；可查看弗兰德斯矩阵编码打点信息，每1秒为一个点，将课堂的全部过程进行打点标记。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#19、系统支持教师画面、学生画面双窗口显示，小窗口可自由拖动位置和自由切换；视频画面与互动课件一一对应，点击互动课件缩略图，可跳转至对应视频片段。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#20、系统将课堂实录自动切割为关键片段，根据模式的选择播放指定类型的片段内容；片段中包含提问、回答、举手、上台、齐读、讨论的教学事件，播放进度条支持显示事件类型、定位播放功能。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#21、系统支持教学环节、课堂互动、完整回放三种播放模式，可任意切换。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#22、系统支持将报告下载至本地，报告中包含基础数据、教学时间分配、讲学环节时间轴、弗兰德斯编码图、S-T/Rt-Ch教学分析图、高频词语分析、提问数据统计、提问详情列表。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#23、系统支持计算本节课的教师行为占有率Rt、师生行为转换率Ch，基于本节课的Rt值、Ch值得出本节课的教学模式，教学模式包含：混合型、练习型、讲授型、对话型。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#24、系统支持以海报、二维码的方式分享给他人；</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#25、支持在移动端查看报告。</w:t>
            </w:r>
            <w:r>
              <w:rPr>
                <w:rFonts w:hint="eastAsia" w:ascii="宋体" w:hAnsi="宋体" w:eastAsia="宋体" w:cs="宋体"/>
                <w:i w:val="0"/>
                <w:iCs w:val="0"/>
                <w:color w:val="000000"/>
                <w:sz w:val="21"/>
                <w:szCs w:val="21"/>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08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物化生虚拟仿真实验测评软件（学生端）</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一、平台功能要求：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#1.平台支持多终端设备授权接入；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#3.平台模块化设计，物理、化学、生物三学科均包含有实验模拟考试模块，物化学科增加实验教学模块。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二、实验教学模块功能要求：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#1.背包功能：根据实验情况从背包选择或抓取所需实验器材、实验用品；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#2.辅助线功能：清晰呈现物理实验的抽象概念，便于理解实验原理；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#3.数据记录功能：点击记录按钮自动记录物理实验操作数据；表格数据一目了然，方便观察，总结；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#4.微观粒子展现功能：更清晰观察化学实验中化学反应现象、原理。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三、实验测评考试模块功能要求：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#1.仿真实验操作与学科学业水平考试操作步骤一致，模拟真实实验考试过程；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#2.倒计时功能：模拟考试时间限制，时间结束自动提交成绩（可提前主动提交）；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#3.AI测评功能：根据学生完成实验时的操作快速给出相应的得分，并能直接定位错误步骤和失分点；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#4.AI数据分析功能：包含实验总览、实验统计、综合分析、分值曲线、错误分布等。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四、实验课程资源要求: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#1.实验教学课件资源要求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物理资源≥47套；必须涵盖：1）用刻度尺测量长度、用停表测量时间2）测量物体运动的平均速度3）用温度计测量水的温度4）探究固体熔化时温度的变化规律5）探究水沸腾时温度变化的特点6）探究光反射时的规律7）探究平面镜成像的特点8）探究光折射时的特点9）探究凸透镜成像的规律10）用天平测量固体和液体的质量11）</w:t>
            </w:r>
            <w:r>
              <w:rPr>
                <w:rFonts w:hint="eastAsia" w:ascii="宋体" w:hAnsi="宋体" w:eastAsia="宋体" w:cs="宋体"/>
                <w:i w:val="0"/>
                <w:iCs w:val="0"/>
                <w:color w:val="000000"/>
                <w:sz w:val="21"/>
                <w:szCs w:val="21"/>
                <w:u w:val="none"/>
                <w:lang w:val="en-US" w:eastAsia="zh-CN" w:bidi="ar"/>
              </w:rPr>
              <w:t xml:space="preserve">探究同种物质的质量与体积的关系12）测量盐水和小石块的密度13）练习使用弹簧测力计14）探究重力的大小跟质量的关系15）阻力对物体运动的影响16）探究二力平衡的条件17）测量滑动摩擦力18）研究影响滑动摩擦力大小的因素19）探究影响压力作用效果的因素20）测量立方体金属块对桌面的压强21）研究液体内部的压强22）大气压的测量23）测量铝块浸没水中所受的浮力24）探究浮力的大小跟哪些因素有关25）探究浮力的大小跟排开液体所受重力的关系26）探究物体的动能跟哪些因素有关27）探究杠杆的平衡条件28）研究定滑轮和</w:t>
            </w:r>
            <w:r>
              <w:rPr>
                <w:rFonts w:hint="eastAsia" w:ascii="宋体" w:hAnsi="宋体" w:eastAsia="宋体" w:cs="宋体"/>
                <w:i w:val="0"/>
                <w:iCs w:val="0"/>
                <w:color w:val="000000"/>
                <w:sz w:val="21"/>
                <w:szCs w:val="21"/>
                <w:u w:val="none"/>
                <w:lang w:val="en-US" w:eastAsia="zh-CN" w:bidi="ar"/>
              </w:rPr>
              <w:t xml:space="preserve">动滑轮的特点29）测量滑轮组的机械效率30）测量斜面的机械效率31）比较不同物质吸热的情况32）连接串联电路和并联电路33）练习使用电流表34）探究串联电路中各处电流的关系35）探究并联电路电流的关系36）练习使用电压表37）探究串联电路电压的关系38）探究并联电路电压的关系39）探究影响导体电阻大小的因素40）练习使用滑动变阻器41）探究电流与电压的关系42）探究电流与电阻的关系43）伏安法测电阻44）测量小灯泡的电功率45）研究磁场的方向46）探究通电螺线管外部的磁场分布47）探究什么情况下磁可以生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化学资源≥36套；1）对蜡烛及其燃烧的探究2）测定空气里氧气的含量3）硫分别在空气和氧气里燃烧4）木炭分别在空气和氧气中燃烧5）铁丝在氧气中剧烈燃烧6）加热高锰酸钾制取氧气7）二氧化锰的催化作用8）分解过氧化氢制取氧气9）分子运动现象的实验10）过滤液体11）用肥皂水区分软水和硬水12）氢气在空气里的燃烧13）电解水实验14）质量守恒定律15）木炭还原氧化铜</w:t>
            </w:r>
            <w:r>
              <w:rPr>
                <w:rFonts w:hint="eastAsia" w:ascii="宋体" w:hAnsi="宋体" w:eastAsia="宋体" w:cs="宋体"/>
                <w:i w:val="0"/>
                <w:iCs w:val="0"/>
                <w:color w:val="000000"/>
                <w:sz w:val="21"/>
                <w:szCs w:val="21"/>
                <w:u w:val="none"/>
                <w:lang w:val="en-US" w:eastAsia="zh-CN" w:bidi="ar"/>
              </w:rPr>
              <w:t xml:space="preserve">16）实验室制取二氧化碳17）二氧化碳的性质18）燃烧条件的实验19）灭火的原理20）粉尘爆炸实验21）生石灰与水反应22）甲烷燃烧23）金属与稀硫酸的反应24）探究铝、铜、银的金属活动性顺序25）一氧化碳还原氧化铁26）铁钉锈蚀条件的探究27）氯化钠、硝酸钾在水中的溶解28）配制一定质量分数的氯化钠溶液29）浓硫酸的腐蚀性与稀释30）酸的化学性质31）碱的化学性质32）中和反应33）pH和溶液的酸碱性34）碳酸钠、碳酸氢钠与盐酸反应35）硫酸铜分别与氢氧化钠和氯化钡溶液的反应36）粗盐中难溶性杂质的去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生物资源实验教学课件资源</w:t>
            </w:r>
            <w:r>
              <w:rPr>
                <w:rFonts w:hint="eastAsia" w:ascii="宋体" w:hAnsi="宋体" w:eastAsia="宋体" w:cs="宋体"/>
                <w:i w:val="0"/>
                <w:iCs w:val="0"/>
                <w:color w:val="000000"/>
                <w:sz w:val="21"/>
                <w:szCs w:val="21"/>
                <w:u w:val="none"/>
                <w:lang w:val="en-US" w:eastAsia="zh-CN" w:bidi="ar"/>
              </w:rPr>
              <w:t xml:space="preserve">≥30套；必须涵盖：1) 显微镜的构造 2) 洋葱鳞片叶内表皮细胞 3) 植物细胞模式图 4）动物细胞模式图 5）动物的器官 6）动物的系统 7）草履虫 8）单子叶种子的结构 9）裸子植物的种子 10）花的结构 11）肺内的气体交换 12）心脏结构与搏动 13）泌尿系统结构 14）眼的结构15）耳的结构16）神经元17）内分泌系统18）涡虫19）蛔虫 20）蚯蚓 21）缢蛏22）蝗虫 23）鲤鱼 24）青蛙 25）鳄鱼 26）鸟27）哺乳动物的牙齿 28）细菌基本结构29）真菌基本结构 30）病毒基本结构。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#2.实验测评考试课件资源要求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物理资源≥21套；必须涵盖：1）用托盘天平测量物体的质量2）测量固体和液体的密度3）用常见温度计测量温度4）用刻度尺测量长度、用表测量时间5）测量物体运动的速度6）用弹簧测力计测量力7）用电流表测量电流8）用电压表测量</w:t>
            </w:r>
            <w:r>
              <w:rPr>
                <w:rFonts w:hint="eastAsia" w:ascii="宋体" w:hAnsi="宋体" w:eastAsia="宋体" w:cs="宋体"/>
                <w:i w:val="0"/>
                <w:iCs w:val="0"/>
                <w:color w:val="000000"/>
                <w:sz w:val="21"/>
                <w:szCs w:val="21"/>
                <w:u w:val="none"/>
                <w:lang w:val="en-US" w:eastAsia="zh-CN" w:bidi="ar"/>
              </w:rPr>
              <w:t xml:space="preserve">电压9）用电流表和电压表测量电阻10）探究水在沸腾前后温度变化的特点11）探究滑动摩擦力大小与哪些因素有关12）探究液体压强与哪些因素有关13）探究浮力大小与哪些因素有关14）探究杠杆的平衡条件15）探究光的反射定律16）探究平面镜成像的特点17）探究凸透镜成像的规律18）探究通电螺线管外部磁场方向19）探究导体在磁场中运动时产生感应电流的条件20）探究串联电路和并联电路中电流和电压的特点21）探究电流与电压、电阻的关系 22）探究水沸腾时温度变化的特点23）探究平面镜成像的特点24）探究电流与电压的关系。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化学资源≥32套；必须涵盖：1）探究铁、铜、铝三种金属的活动顺序2）水的净化3）二氧化碳的制取和检验4）用双氧水制取氧气5）探究过氧化氢溶液制取氧气的条件6）配置一定溶质质量分数的溶液7）验证质量守恒定律8）酸碱中和反应9）粗盐提纯10）酸（稀硫酸）的化学性质11）探究化学变化过程中常伴随的现象12）探究氢氧化钠溶液的性质13）鉴别氨水、氢氧化钠、澄清石灰水三种溶液14）金属镁的性质探究15）探究金属的化学性质16）探</w:t>
            </w:r>
            <w:r>
              <w:rPr>
                <w:rFonts w:hint="eastAsia" w:ascii="宋体" w:hAnsi="宋体" w:eastAsia="宋体" w:cs="宋体"/>
                <w:i w:val="0"/>
                <w:iCs w:val="0"/>
                <w:color w:val="000000"/>
                <w:sz w:val="21"/>
                <w:szCs w:val="21"/>
                <w:u w:val="none"/>
                <w:lang w:val="en-US" w:eastAsia="zh-CN" w:bidi="ar"/>
              </w:rPr>
              <w:t xml:space="preserve">究酒精与水能互相溶解17）用稀盐酸鉴别氢氧化钠溶液和碳酸钠溶液，并测定碳酸钠溶液的PH18）探究碳酸钠的化学性质19）探究醋酸的性质20）用碳酸钠溶液鉴别稀硫酸、氯化钠溶液和石灰水21）粗盐的溶解和过滤22）二氧化碳的制取及性质23）溶液酸碱性的检验24）探究金属的某些化学性质25）粗盐中难溶性杂质的去除26）氧气的实验室制取与性质27）二氧化碳的实验室制取与性质28）常见金属的物理性质和化学性质29）常见酸、碱的化学性质30）一定溶质质量分数的氯化钠溶液的配置31）水的组成及变化探究32）燃烧条件的探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生物资源≥17套；必须涵盖：1) 练习使用显微镜2) 制作并观察植物细胞的临时装片3) 观察人的口腔上皮细胞4) 观察叶片的结构5) 观察人体的基本组织6）观察种子的结构7) 观察根毛和根尖的结构8) 观察花的结构9) 用显微镜观察人血的永久涂片10) 观察小鱼尾鳍内血液的流动 11）观察蚯蚓12）观察酵母菌和霉菌13）观察鸡卵的结构14）探究光合作用的条件、原料和产物15）测定某种食物中的能量16）探究唾液淀粉酶对淀粉的消化作用17）探究种子萌发所需的条件。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F3、基础设备</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1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#1.规格：≥φ1400*H740mm；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#2.台面：采用新型、环保、12.7mm实芯心理化板台面，台面经过电脑数控精加工，整体美观大方；台体颜色：采用整体灰白加蓝色门板的组合，外观新颖；                                                                                                                                                           </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            #3.台体结构：整个六角台体采用环保ABS材料一次成型，坚固耐用。组合台体使用6根长度≥680mm，宽度≥50mm的鱼骨状连接件榫卯连接6个长边≥640mm，短边≥230mm的梯形桌架，桌架高度≥735mm，桌体下部宽度≥49，可接触部位均做了圆弧状处理，下部呈内凹状给学生预留出足够的腿部空间。搭配≥390mm*310mm的上开门综合使用柜。每张桌体都带有长度≥575mm，高度≥140mm，深度≥30mm的书包斗可供学生存放书包等物品。书包斗的外部设有挂凳口，美观方便，节约收纳空间；</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#1.规格：470*205*700mm(±5mm)；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控制箱设置总控制器一个、总漏电保护器1个、每分路一个漏电保护器、开关电源若干个，10寸屏一个、紧急开关一个，启动开关一个，运行指示灯一个。多种元器件组合成强大保护集成电路。保障220V电源具有漏电、短路、过载保护，保证安全可靠。低压输出驱动电压、学生电源交直流电压，具有智能保护系统，短路过载具有自动复位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#3.控制每点的电压，高压220V开关，低压交流0-30V/2A,1V每档，低压直流0-30V直流电源电压为0V-16.0V/2A、16.1V-30.0V/1A，分辨率为0.1V。具备自动过载保护功能；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#4.采用触摸屏控制；学生低压电源采用触摸屏操作方式，电压，电流液晶显示；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顶部多模块电源供应装置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#1.采用ABS材质，模具一体成型。模块内预留高压、低压位置；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#2.ABS原材料技术要求满足GB/</w:t>
            </w:r>
            <w:r>
              <w:rPr>
                <w:rFonts w:hint="eastAsia" w:ascii="宋体" w:hAnsi="宋体" w:eastAsia="宋体" w:cs="宋体"/>
                <w:i w:val="0"/>
                <w:iCs w:val="0"/>
                <w:color w:val="000000"/>
                <w:sz w:val="21"/>
                <w:szCs w:val="21"/>
                <w:u w:val="none"/>
                <w:lang w:val="en-US" w:eastAsia="zh-CN" w:bidi="ar"/>
              </w:rPr>
              <w:t xml:space="preserve">T 1843-2008、GBT4207-2022标准检测：1)冲击强度（无缺口）：不破坏；试样未断裂，仅弯曲并穿过支座，可能兼有应力发白。83.5kJ/m²；2)拉伸强度：不破坏；试样未断裂，27.3Mpa；3)弯曲强度：不破坏；试样未断裂，48.0Mpa；4)阻燃+水平+垂直：符合V-0等级；5)漏电起痕：耐漏电起痕指数是表示材料耐漏电性的指标。在对绝缘物表面施加电压的状态下，使电解液滴落于电极间的塑料试样表面，评价到何电压为止不发生漏电破坏。按照耐压值从0到5进行分级。数字越小，耐漏电性越高。等级5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模块储藏装置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#1.采用ABS材质，模具一体成型。四周带氛围灯设计；</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5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低压电源模块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#2.学生电源采用耐磨、耐腐蚀、耐高温的PC亮光薄膜面板，学生电源的控制采用触摸屏式，可以随意设置电压，贴片元件生产技术，微电脑控制，采用2.8寸彩色液晶显示电源学生交直流电压；检测合格；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#3.学生交流电源通过上下键0～30V电压，最小调节单元可达1V,额定电流2.5A；用数字万用表现场测试交流30V；检测合格；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#4.学生直流电源也是通过上下键选取，调节范围为0V～30V，分辨率可达0.1V,额定电流2A；检测合格；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#5.一个吊舱上的2组低压电源应能组成正负电源，测试方法，把一组电源的负极用导线连到另一组电源的正极，组成正负电源。用数字万用表现场测试电压正负24V电压，串联48V；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#6.一个吊舱有2个网络接口及两个USB接口；</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高压电源模块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#1.采用220V，多功能安全插座；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F3-10</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灯光照明系统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智能升降机构</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#1.整体采用自动升降机构，内置卷线盘、铝合金转盘、U型导轮及直流减速电机，通过减速电机带动卷线盘实现正反转，U型导轮定位电缆线，装置设置有触碰开关，对电源升降起限位作用；</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安装支架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#1.采用环氧树脂喷涂吊杆，横梁吊装方式，减少楼板承重，防止左右晃动，可进行上下、左右的平衡调节；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F3-20</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F3-21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F3-22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F3-23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61"/>
        <w:gridCol w:w="6350"/>
        <w:gridCol w:w="779"/>
        <w:gridCol w:w="807"/>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G、物理考评实验室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G1、实验室基础设备配置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智能考评教学终端</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技术参数同“C1-01 智能考评教学终端”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考评室教学软件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技术参数同“C1-02 考评室教学软件”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视频展台</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技术参数同“C1-03 视频展台”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G-05</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G-06</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G-07</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16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G-08</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数控学生电源</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#1、采用数字键盘轻触操作、数码显示交直流电压电流,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#2、学生低压交流电源电压为1V-18V/3A、19V-36V/2A，分辨率为1V。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#3、学生低压直流电源电压为0V-16.0V/2A、16.1V-36.0V/1A，分辨率为0.1V。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#4、学生电源被教师设置及锁定后，学生不能设置，只能实验。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学生电源特殊要求：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#1、具有电子举手管理功能，当学生需要提问时，学生按举手时，教师主控应该有语音播报哪组哪桌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#2、学生电源既能独立操作，也能被教师控制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#3、具备自动过载保护功能，</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G-09</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学生凳</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G-10</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技术参数同“C1-16 电气布线（地面以上部分）”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G-15</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G-16</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G-17</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G-18</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G-19</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G2、智能控制系统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G3、顶部集成供给系统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G3-05</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G3-06</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G3-07</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G3-08</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G3-09</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G3-10</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G3-11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G3-12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G3-13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G4、实验室信息化系统相关配置及配套服务</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技术参数同“C4-01 实验台信息采集终端”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技术参数同“C4-02 考生终端软件”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技术参数同“C4-03 路由器”</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技术参数同“C4-04 考室监考系统”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G4-05</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技术参数同“C4-05 交换机”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G4-06</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技术参数同“C4-06 机柜”</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G4-07</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技术参数同“C4-07 电子目镜”</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G4-08</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技术参数同“C4-08 考室网络摄像机”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G4-09</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技术参数同“C4-09 配置辅材及施工”</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G4-10</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29"/>
        <w:gridCol w:w="6382"/>
        <w:gridCol w:w="779"/>
        <w:gridCol w:w="807"/>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H、生物智能吊装实验室</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H1、实验室基础设备配置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H2、智能控制系统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H2-01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H2-02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H2-03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H2-04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H3、顶部集成供给系统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H3-06</w:t>
            </w:r>
            <w:r/>
          </w:p>
        </w:tc>
        <w:tc>
          <w:tcPr>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H4、文宣装修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H4-01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57"/>
        <w:gridCol w:w="6372"/>
        <w:gridCol w:w="749"/>
        <w:gridCol w:w="819"/>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I、生物数字化探究</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19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I1、教师端无线带屏手持式传感器和配套实验器材</w:t>
            </w:r>
            <w:r/>
          </w:p>
        </w:tc>
        <w:tc>
          <w:tcPr>
            <w:tcW w:w="376"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410"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技术参数同“B1-01 便携式实验终端”</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技术参数同“B1-02 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无线蓝牙模块</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技术参数同“B1-03 无线蓝牙模块”</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技术参数同“B1-04 温度传感器”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技术参数同“B1-06 气压传感器”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技术参数同“B1-09 pH传感器”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电导率传感器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技术参数同“B1-10 电导率传感器”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I1-08</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技术参数同“B1-11 氧气传感器”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I1-09</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技术参数同“B1-12 二氧化碳传感器”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16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I1-10</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#1、量程：±5mV，分辨率：0.01mV。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#2、传感器带有3根不同颜色的电极导线，用于测量人体心电图的波形图形；手持式技术，便于直接观察数据；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#4、配置≥4.3英寸高清电容触摸屏与振动警告功能单元，支持多点触摸方式，可通过多点触摸方式选择曲线界面内任意区域的放大缩小；传感器自带滚轮调节键，通过滚轮可调节心电图采集频率；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67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#1、量程：0～250bpm。指夹式心率探头。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#2、用于测量人体的心率值；手持式技术，便于直接观察数据；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#4、配置≥4.3英寸高清电容触摸屏与振动警告功能单元，支持多点触摸方式，可通过多点触摸方式选择曲线界面内任意区域的放大缩小；传感器自带滚轮调节键，通过滚轮可调节人体心率采集频率；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5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#1、量程：0～200Time/min，分辨率：1Time/min。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#2、用于测量呼吸频率；手持式技术，便于直接观察数据；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#4、配置≥4.3英寸高清电容触摸屏与振动警告功能单元，支持多点触摸方式，可通过多点触摸方式选择曲线界面内任意区域的放大缩小；传感器自带滚轮调节键，通过滚轮可调节呼吸率采集频率；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7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温湿一体传感器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#1、湿度量程：0%～100%RH，分辨率：0.05%；温度量程：-40℃～125℃，分辨率：0.01℃；一个传感器可同时测量两种数据。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#2、温湿度一体式的探头作为测温元件，可同时测量环境的温度及相对湿度；手持式技术，便于直接观察数据；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#4、配置≥4.3英寸高清电容触摸屏与振动警告功能单元，支持多点触摸方式，可通过多点触摸方式选择曲线界面内任意区域的放大缩小；传感器自带滚轮调节键，通过滚轮可调节湿度/温度采集频率；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微电流传感器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技术参数同“E1-12 微电流传感器”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#1、量程：20～1000ppm，分辨率：1ppm。用于测量呼出气体或者化学反应中气体酒精含量。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溶解氧传感器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#1、量程：0～20mg/L，分辨率：0.01mg/L。用于测量溶液中溶解氧含量变化。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#2、传感器数据传输接口为智能Type-C接口，支持正反盲插，即插即用，自动识别；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#3、支持与智能数字实验终端的Type-C接口嵌合卡口连接，也可与其USB接口连接；支持与数据采集器的USB接口连接，多个传感器并行采集实验数据；还支持与普通计算机USB口直接连接，传输数字化实验数据。</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色度计传感器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#1、量程：0%～100%，分辨率： 0.1% 。三波长光源（R、G、B）测量，可采集不同深浅颜色溶液的变化及速率。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I1-18</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二氧化硫传感器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技术参数同“B1-14 二氧化硫传感器”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321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I1-19</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数字化探究实验软件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#1、符合最新初中生物教学装备配置标准，满足基础课程、探究性学习、创新实验教学的需求，是教育信息化发展的重要组成部分。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#10、软件可模拟信号发生器，产生2组独立的正弦波或者脉冲波信号；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#11、软件可采集音频，具有录音功能和录音播放功能，录音时间可调；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#12、软件可录制实验数据采集过程并回放，播放速率可调；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#13、应用平台：WindowsXP、Windows7、Windows8、Windows10、Windows11等。</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I1-20</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技术参数同“B1-18 铝合金箱及附件”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多向转接头</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技术参数同“B1-24 多向转接头”</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气液相密封实验器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技术参数同“B1-27 气液相密封实验器”</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光合作用实验箱</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#1、用于中学生物－水陆生植物的光合作用、蒸腾作用，种子的萌发放热，酵母菌的呼吸作用，酶的特性实验。配合温度、湿度、氧气、CO2等传感器使用。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#2、透明亚克力密闭容器，2孔盖子，含橡胶塞1套。</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模拟肺呼吸实验器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#1、用于中学生物“人体的呼吸”。通过模型模拟呼吸，探究胸廓的变化与呼吸的关系；配合气压传感器使用，可探究呼吸时肺部压强的变化。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#2、由透明塑料容器、弹性橡胶底座、肺叶模型、鲁尔接头、三通阀、橡胶管等部件组成，可以直观观察到内部仿人肺部的呼吸运动时的肺叶的张吸效果。</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多功能电极支架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技术参数同“B1-28 多功能电极支架”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19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I2、学生端传感器和配套实验器材</w:t>
            </w:r>
            <w:r/>
          </w:p>
        </w:tc>
        <w:tc>
          <w:tcPr>
            <w:tcW w:w="376"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10"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技术参数同“B1-01 便携式实验终端”</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技术参数同“B1-02 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技术参数同“B2-03 温度传感器”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技术参数同“B2-05 气压传感器”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湿度传感器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技术参数同“B2-06 湿度传感器”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技术参数同“B2-07 pH传感器”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电导率传感器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技术参数同“B2-08 电导率传感器”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I2-08</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技术参数同“B2-09 氧气传感器”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I2-09</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技术参数同“B2-10 二氧化碳传感器”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I2-10</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#1、量程：0～250bpm。指夹式心率探头，用于测量人体的心率值。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#2、传感器数据传输接口为智能Type-C接口，支持正反盲插，即插即用，自动识别；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#3、支持与智能数字实验终端的Type-C接口嵌合卡口连接，也可与其USB接口连接；支持与数据采集器的USB接口连接，多个传感器并行采集实验数据；还支持与普通计算机USB口直接连接，传输数字化实验数据。</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色度计传感器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技术参数同“I1-17 色度计传感器”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微电流传感器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技术参数同“E2-07 微电流传感器”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技术参数同“B1-18 铝合金箱及附件”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多向转接头</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技术参数同“B1-24 多向转接头”</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气液相密封实验器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技术参数同“B1-27 气液相密封实验器”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光合作用实验箱</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技术参数同“I1-23 光合作用实验箱”</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多功能电极支架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技术参数同“B1-28 多功能电极支架”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40" w:type="pct"/>
        <w:tblInd w:w="-8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241"/>
        <w:gridCol w:w="6332"/>
        <w:gridCol w:w="749"/>
        <w:gridCol w:w="836"/>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J、生物考评实验室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J1、实验室基础设备配置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智能考评教学终端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技术参数同“C1-01 智能考评教学终端”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考评室教学软件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技术参数同“C1-02 考评室教学软件”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视频展台</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技术参数同“C1-03 视频展台”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J1-06</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教师椅”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J1-08</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56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J1-09</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#1、学生交流2V到24V输出，电流2A，自动过载保护，自动恢复。电压2V每档，由教师集中控制。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#2、学生直流2V到24V输出，电流2A，自动过载保护，自动恢复。由教师集中控制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#3、220V国标五孔插座，保险丝保护，工作指示。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技术参数同“C1-16 电气布线（地面以上部分）”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J1-18</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技术参数同“C1-17 给、排水系统（地面以上部分）”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J1-19</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J1-26</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J2、智能控制系统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J2-01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J2-02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J2-03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J2-04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J3、顶部集成供给系统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J3-06</w:t>
            </w:r>
            <w:r/>
          </w:p>
        </w:tc>
        <w:tc>
          <w:tcPr>
            <w:tcBorders>
              <w:top w:val="single" w:color="000000" w:sz="4" w:space="0"/>
              <w:left w:val="single" w:color="000000" w:sz="4" w:space="0"/>
              <w:bottom w:val="single" w:color="000000" w:sz="4" w:space="0"/>
              <w:right w:val="single" w:color="000000" w:sz="4" w:space="0"/>
            </w:tcBorders>
            <w:tcW w:w="618"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1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1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J3-08</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J3-09</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J3-16</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J4、考室终端及配套设备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技术参数同“C4-01 实验台信息采集终端”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技术参数同“C4-02 考生终端软件”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技术参数同“C4-03 路由器”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技术参数同“C4-04 考室监考系统”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技术参数同“C4-05 交换机”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J4-06</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技术参数同“C4-06 机柜”</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技术参数同“C4-07 电子目镜”</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J4-08</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技术参数同“C4-08 考室网络摄像机”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J4-09</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技术参数同“C4-09 配置辅材及施工”</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J4-10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40" w:type="pct"/>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277"/>
        <w:gridCol w:w="6320"/>
        <w:gridCol w:w="789"/>
        <w:gridCol w:w="792"/>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K、智慧实验室校级管理平台</w:t>
            </w:r>
            <w:r/>
          </w:p>
        </w:tc>
      </w:tr>
      <w:tr>
        <w:trPr>
          <w:trHeight w:val="270"/>
        </w:trPr>
        <w:tc>
          <w:tcPr>
            <w:tcW w:w="43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1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393"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3595"/>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K-01</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考务管理系统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#1、基础信息管理：具有管理教师库、学生库、考题库等功能；具有数据录入、增加、修改、删除等功能；具有数据导入、导出、保存等功能；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#2、平台总体采用B/S架构，支持分布式部署，确保系统的伸缩性和灵活性；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#3、用户权限：具有设置不同角色及分配操作权限的功能，支持划分管理员、阅卷老师、监考老师和普通老师，并根据不同角色赋予权限；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考场编排：拥有考试管理权限的用户可以根据考生人数、考点考场等情况设置考试批次、考试学科、考场人数、考试时长和每场考试间隔时间等参数；具备缺考、参考等情况的各类统计功能；支持安排考题、设置考试日期、选择考试范围以及安排考生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#5、考点关联：支持将非考点学校关联到考点，指派非考点学校的考生到考点进行考试，并统一管理考点数据；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#6、考室管理：支持设置≥2个考室分组，可以实现单学科多考室同时排考，满足考试需求；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#7、考室布局：支持按照横排顺序、竖排顺序等规则进行快速布局，可以自定义座位号显示；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#8、场室关联：支持关联考点校考室以外的功能场室，支持每个功能场室配置≥2个摄像头的主流及辅流视频流地址；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#9、考题管理：可以根据考题评分项设置评分标准，支持启用电子试卷，并可自定义电子实验报告；报告填写内容包括但不限于填空题、简答题和选择题；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#10、考试管理：学校考点可以根据自身情况安排考试日期，也可以根据县级平台统一安排的日期进行考试；在日常教学过程中，学校还可以根据需要安排模拟考；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#11、排考办法：支持定时定点排考、定点不定时排考以及随到随考；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#12、定时定点排考：生成全部考试批次信息，固定考室、时间及考试范围，考生按指定时间和地点进行考试；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定点不定时排考：生成全部考试批次信息，固定考室和考生名单，但不固定考试时间；用户可在考室监考系统中控制考试的开始和结束，在考试结束前提供提示功能；监考老师可根据实际情况选择是否延长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随到随考：不需要设置具体的考生批次、考试时长或考试间隔时长；用户可根据实际学生到场情况，在签到页面为学生进行签到并生成考试批次；每个批次的考生有序抽签后即可进入考室；考室老师根据学生入场情况，在考室监考系统上控制考试开始和结束；可以根据考务要求配置规则，定时结束考试；在考试结束前提供提示功能，监考老师可根据实际情况选择是否延长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#15、并排排考：系统支持同时安排物理、化学和生物三场考试并发进行，实现不同学科考室同步并排进行考试；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#16、智能排题：当选择多个考题时，系统会根据该场考试的考题数量，自动根据不同教室的座位数量和排列方式进行智能排题，确保相邻座位的题目不相同，以防止作弊；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#17、结果预览：当用户完成排考数据填写后，可以预览排考结果，系统对数据进行检测，检测通过后，用户可以发布考试，若排考数据异常，系统将以文字形式指出错误原因，便于用户快速定位并修改异常数据；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#18、准考证下载：支持通过平台的考试信息预览界面下载该场考试的准考证；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#19、闲时补考：拥有考试管理权限的用户可以为考生安排补考；补考时间需在闲时（即非已排考的考试时间），并且补考的考试编排可以继承正常考试的数据；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#20、缺考/参考统计：具备缺考、参考等情况的各类统计功能；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#21、运维管理：具有对存储设备、终端等设备运维管理功能，包括查看和清理服务器磁盘容量；查看监考端和学生端的当前版本，并在平台上传软件更新包后，实现远程自动更新；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考室自检统计：可在考室内进行设备轮巡自检测试，自检内容包括但不限于监考主机的CPU信息、内存信息、硬盘信息、通讯IP连接情况以及监考端、学生端和平台端的时间同步情况；考室完成自检后，平台将自动记录最后一次自检结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告警功能：当发现视频存储异常时，系统支持自动或手动向平台端提交告警信息；阅卷老师觉得考卷有问题时，可以手动点击异常处理，并填写具体情况；对告警进行处理时，支持重新上传视频、安排补考、取消考试成绩（舞弊情况）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#24、三端校验：可以通过 MD5 加密算法生成序列码，平台服务端、监考端和考生端的视频文件使用 MD5 进行校验。校验结果可在平台端查看，确保数据传输的完整性，防止文件被篡改。</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23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K-02</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抽签系统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#1、基础功能：具有随机抽签安排考生座位的功能，抽签信息实时呈现在显示设备上；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#2、能与校级平台进行绑定，实现考前的签到、抽签及抽签结果打印等功能，支持多种签到方式，能满足不同的签到需求；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#3、支持“三固定、一抽签”：每个位置固定考题、实验器材和座位号，学生进场时通过抽签决定座位；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#4、签到界面：支持显示当前批次、总批次、总人数、未签到人数、累计签到人数和本批次签到人数；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#5、考生签到：支持扫码（条形码或二维码）、人脸识别、身份证识别三种签到方式；签到界面可以显示考生的姓名、考号和学校；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#6、签到提示：当排考办法为随到随考时，如果当前批次签到考生人数达到考场座位总数，系统会提示人数已满，提醒用户进行抽签；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#7、报到抽签：支持考生完成签到后，系统同步抽取学生考试座位号信息，并在屏幕上展示；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#8、语音播报：在“报到即抽签”模式下，考生完成抽签后，系统会通过喇叭播报考生的抽签信息；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#9、抽签界面：支持显示当前批次、总批次、考场座位布局，并提供抽签和标签打印功能；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#10、一键抽签：支持在“定时定点”和“定点不定时”模式下，对当前批次的考生进行一键抽签；抽签信息将同步至校级平台和考场监考端；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#11、结果打印：完成抽签后，可打印考生的抽签结果；用户可自由选择打印信息，包括但不限于考生姓名、座位号、考号、条形码和二维码等；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#12、批次查看：支持按考场和场次查看历史抽签记录，并支持历史记录打印。</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82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K-03</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校级监考系统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#1、监考巡查：具有调取、显示考场内所有终端视频信息的功能；能实时显示各考场、候考室的视频信息；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#2、多考室巡查：能将摄像机分配到不同的考室中分别管理，能为考务人员提供多个考室的实时巡考监控视频画面；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#3、支持标准RTSP协议的监控摄像机，协议开放，可兼容市面上大部分常见的IP网络摄像机；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#4、每个考室支持≥1路前摄像机、≥1路后摄像机；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#5、存在多场考试时，支持在巡考页面中快速切换并观看其他考试的监控，无需跳出页面；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#6、能在页面中实时展示当前考试的相关信息，包括但不限于：考试科目、开考时间、考试状态等；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#7、可自由选择多个摄像头切换显示，支持单画面、四分屏、九分屏等模式；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#8、能自动显示每一个考室监控摄像头的通道名称，通道名称需清晰明了，包括但不限于：考点校名称、考室名称、摄像头安装位置（前/后摄像头）等。</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78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K-04</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阅卷评分系统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C/S和B/S混合架构，既支持B/S网页阅卷，也支持C/S客户端阅卷；当阅卷规模较小时，阅卷老师可以通过网页直接访问系统进行阅卷；当阅卷规模和用户量较大时，支持通过客户端软件提前将考试视频缓存到每一台阅卷电脑；此外，支持在平台上统一管理阅卷电脑并分配考卷，支持在平台上统一查看阅卷电脑内的视频缓存情况，并支持批量清除阅卷电脑内的视频缓存；</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功能管理：具有试卷管理、任务管理、教师管理等功能；可设置教师与试卷的数量匹配模式及并发数；能屏蔽考生敏感信息；具有查分管理功能，支持实时直播、视频回放、可兼容AI辅助评分或AI全自动评分等阅卷模式，各模式均应有复评流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#3、评分管理：支持在线视频阅卷评分、成绩查询和导出；在线阅卷时，支持加速播放、暂停和查看考卷实验报告等操作；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#4、支持现场打分：若考试采用现场平板电脑打分模式，系统可自动导入现场打分结果；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考卷数据核验：支持对从考室上传的数据进行核验；核验内容包括电子实验报告、显微镜截图和考卷视频数据；系统输出核验结果，显示核查的考卷数和存在的问题，并支持跳转至异常考卷列表，以便补充上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#6、阅卷规则：支持单评制和多评制；在多评制中，可以设定评分阈值；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#7、阅卷试评：在正式阅卷工作之前，可以进行试评卷；支持阅卷组长分配试评卷的范围，包括随机选取部分考卷发放给阅卷老师进行评阅，以及选择同一份考卷给所有阅卷老师进行评阅，以便统一评分标准；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#8、阅卷老师可以选择一场考试，并固定一道题目进行阅卷；阅卷时，每个学生的主镜头和侧镜头画面将同时自动播放，且两个画面之间没有明显延迟；支持设置0.5X、1X、2X、4X、8X或更高倍速播放。</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6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K-05</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机房不间断电源UPS</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#1、机架式UPS；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#2、输入/输出电压：支持但不限于220V；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#3、内置电池 ≥8组（节），每组（节）容量 ≥12V 7AH；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#4、额定功率≥3.0kW；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#5、输入额定电压：支持但不限于208V、220V、230V、240V AC。</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495"/>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K-06</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抽签设备</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#1、用于考试抽签，支持标签或条码打印；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▲2、配备操作系统，搭配≥2块高清LCD显示屏幕，主屏≥13英寸（分辨率≥1920*1080），副屏≥10英寸,铝合金机身，具有≥1个HDMI口可外接大屏幕，整机一体化设计，各配件之间无任何外露线材；</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#3、主屏可触控，支持≥10点电容触控；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#4、处理器：≥8核64位处理器，主频≥2.2GHz，内存≥4GB，存储≥64GB；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#5、内嵌高拍仪，支持≤A4幅面拍摄；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#6、内嵌身份证解密模块；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#7、支持人脸识别比对，内置≥200万像素高清摄像头，支持活体检测；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#8、内嵌指纹模块；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#9、内置热敏标签打印机，支持打印学生抽签结果；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#10、内置喇叭，支持语音播放和录音；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#11、内置扫码器：支持扫码读取考生准考证上的二维码，完成考生签到。</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K-07</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汇聚交换机</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#1、24口三层交换机；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#2、端口描述：不少于24个千兆电口+2个千兆光口 + 2个万兆光口；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#3、包转发率：不低于166Mpps；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#4、交换容量：不低于432Gbps。</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K-08</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路由器</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#1、8口企业级路由器；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#2、设备类型：企业级路由器；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#3、WAN口：不低于2个GE；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#4、LAN口：不低于8个GE(3个LAN口支持切换为WAN)；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#5、处理器：高性能ARM双核CPU；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#6、产品内存：不低于256MB。</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K-09</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综合布线</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#1、含六类双绞线、面板/插座、跳线、配线架等安装配件，面板带一个信息口。</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p>
        </w:tc>
      </w:tr>
      <w:tr>
        <w:trPr>
          <w:trHeight w:val="54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K-10</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电源布线</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#1、含室内配电箱主电源接入（主线不低于国标6平方*3电线）；UPS输出电源线不低于国标1.5平方*3电线，含线槽、插座和开关等安装配件。</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p>
        </w:tc>
      </w:tr>
    </w:tbl>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306"/>
        <w:gridCol w:w="6255"/>
        <w:gridCol w:w="885"/>
        <w:gridCol w:w="713"/>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L、化学准备室</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1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68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L-01</w:t>
            </w:r>
            <w:r/>
          </w:p>
        </w:tc>
        <w:tc>
          <w:tcPr>
            <w:tcW w:w="6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#1、规格：约L3000*W1200*H760mm；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#2、台面：采用≥12.7mm厚双面膜实芯理化板，且满足如下参数要求：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（1）化学性能检测：依据GB/T 17657-2022《人造板及饰面人造板理化性能试验方法》标准，耐污染性能不少于128项试验污染物的检测，且包含：65%硝酸、98%硫酸、氢氧化钾、液溴、乙酸铵、液体石蜡、柠檬酸、红药水、双氧水、丙酮、四氢呋喃等试剂，覆盖玻璃盖板和未覆盖玻璃盖板检验结果均为5级：无明显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（2)物理性能检测：依据GB/T 17657-2022《人造板及饰面人造板理化性能试验方法》标准，符合： 含水</w:t>
            </w:r>
            <w:r>
              <w:rPr>
                <w:rFonts w:hint="eastAsia" w:ascii="宋体" w:hAnsi="宋体" w:eastAsia="宋体" w:cs="宋体"/>
                <w:i w:val="0"/>
                <w:iCs w:val="0"/>
                <w:color w:val="000000"/>
                <w:sz w:val="21"/>
                <w:szCs w:val="21"/>
                <w:u w:val="none"/>
                <w:lang w:val="en-US" w:eastAsia="zh-CN" w:bidi="ar"/>
              </w:rPr>
              <w:t xml:space="preserve">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(3)环保性能通过第三方检测机构检测：符合甲醛释放量&lt;0.005 mg/M3；符合4种重金属含量mg/kg（可溶性铅≤2.8、镉：≤0.1、铬≤0.2、汞：未检出）。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抗菌性能检测：依据JC/T2039-2010标准，符合：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(5)防霉性能检测：依据JC/T2039-2010标准，符合：黑曲霉、土曲霉、球毛壳霉、宛氏拟青霉、绳状青霉、出芽短梗霉等不少于6种的霉菌检测，且防霉等级为0级。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(6)烟气毒性检测：依据GB 8624-2012《建筑材料及制品燃烧性能分级》标准，烟气毒性等级 t1 级：ZA3（达到准安全三级ZA3）。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(7)抗老化性检测：依据GB/T24508-2020标准：48小时无开裂、无鼓泡、无粉化。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#3、桌架：桌架由左右横梁、前横梁、中横梁、后横梁及拉筋组成，整体稳固牢靠；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#4、左右横梁：左右横梁采用≥3.0mm冷轧钢板经镭射下料、数控折弯焊接成型，表面经高压静电喷涂环氧树脂防护层，耐酸碱，耐腐蚀处理；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#5、前中横梁：左右横梁采用≥2.0mm冷轧钢板经镭射下料、数控折弯焊接成型，表面经高压静电喷涂环氧树脂防护层，耐酸碱，耐腐蚀处理；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#6、后横梁：后横梁采用铝合金挤出，壁厚为1.3mm，表面经高压静电喷涂环氧树脂防护层，耐酸碱，耐腐蚀处理；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#7、拉筋：拉筋采用壁厚为≥1.5mm，60*30的平椭圆管与≥3.5mm的连接片焊接而成，表面经高压静电喷涂环氧树脂防护层，耐酸碱，耐腐蚀处理；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#8、桌腿：桌腿由前腿、装饰件及后腿组成，底部有橡胶脚垫或调节脚，减少与地面摩擦，桌腿底部预留孔位可与地面固定，整体由不同颜色搭配，使产品更具层次感；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#9、前腿：采用壁厚为≥1.5mm厚的D型无缝钢管经镭射下料焊接成型，表面经高压静电喷涂环氧树脂防护层，耐酸碱，耐腐蚀处理，末端衔接ABS一体注塑堵头，腿身具有ABS一体注塑置物挂钩，可承受5KG重量；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#10、装饰件：采用壁厚为≥1.0mm厚的方形铁管经镭射下料焊接成型，表面经高压静电喷涂环氧树脂防护层，耐酸碱，耐腐蚀处理；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#11、后腿：采用壁厚为≥1.5mm厚的D型无缝钢管经镭射下料焊接成型，表面经高压静电喷涂环氧树脂防护层，耐酸碱，耐腐蚀处理，末端衔接ABS一体注塑堵头；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#12、书包斗：采用PP工程塑料作原料，经模具注塑一次成型，外形规格：≥420mm×300㎜×175㎜，壁厚≥3mm；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实验桌通过第三方检测机构检测：操作台力学性能：水平静载荷试验：力600N,10次；垂直静载荷试验：主桌面：力2000N，10次；持续垂直静载荷：载荷1.25kg/dm²，24h；独立操作台水平冲击稳定性：质量50kg,跌落高度40mm；独立操作台垂直加载稳定性：750N；活动操作台跌落：跌落高度:150mm,10次；垂直冲击试验：跌落高度：300mm，10次。</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#14、水槽：采用PP改性材料，塑料注塑一次性成型，水槽后端设置挡板，防止使用过程中水溅至前排学生，内置溢水孔，防止水位过高导致溢水，整体外观线条简约硬朗；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▲15、实验室专用水槽技术性能满足：QB/T2658-2017卫生设备用台盆标准测试具满足以下测试内容：</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(1）外观：产品使用表面应光滑顺畅，不应有划伤、裂纹、气泡、爆边等明显缺陷；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(2）抗负载：试验完成后，样品没有裂纹、破裂、或变形等情况，符合要求；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（3）耐化学腐蚀和耐污染性能：试验后，测试面不应出现不可消除的不良，如污点、损坏等现象，符合要求；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#16、水槽托架：采用≥1.0mm冷轧钢板经镭射下料、数控折弯焊接成型，表面经高压静电喷涂环氧树脂防护层，耐酸碱，耐腐蚀处理,通过螺丝将水槽固定在托架上，使整体更加稳固；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#17、水槽柜体：水槽柜体由侧板、前门板、后门板及底座组成，前后各设置一个柜门，便于日后维修养护；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#18、侧板：采用≥1.0mm冷轧钢板经镭射下料、数控折弯焊接成型，表面经高压静电喷涂环氧树脂防护层，耐酸碱，耐腐蚀处理；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#19、前门板：内置衬板，整体采用≥1.0mm冷轧钢板经镭射下料、数控折弯焊接成型，表面经高压静电喷涂环氧树脂防护层，耐酸碱，耐腐蚀处理；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#20、后门板：采用≥1.0mm冷轧钢板经镭射下料、数控折弯焊接成型，表面经高压静电喷涂环氧树脂防护层，耐酸碱，耐腐蚀处理，通过搭扣锁与柜体连接，拆卸方便；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#21、底座：采用≥1.0mm冷轧钢板经镭射下料、数控折弯焊接成型，表面经高压静电喷涂环氧树脂防护层，耐酸碱，耐腐蚀处理，底部配置调节脚，减少与地面摩擦；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全新钢制水槽柜需满足以下测试内容：1）柜体邻边垂直度（正视面板、框架）：对角线长度、对边长度等检测结果为合格或符合；2）位差度：要求检测结果为符合要求；3）分缝：开门检测结果为符合要求；4）电镀层外观要求：要求检测结果为符合要求；5）安全性：要求检测结果为符合要求；</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技术参数同“A1-07 上水装置”</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L-04</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技术参数同“A1-08 下水装置”</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L-05</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试剂架</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#1、规格：2200L*300W*750H；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#2、双层，分两段，采用铝合金专用型材；                                                                                                       </w:t>
            </w:r>
            <w:r>
              <w:rPr>
                <w:rFonts w:hint="eastAsia" w:ascii="宋体" w:hAnsi="宋体" w:eastAsia="宋体" w:cs="宋体"/>
                <w:i w:val="0"/>
                <w:iCs w:val="0"/>
                <w:color w:val="000000"/>
                <w:sz w:val="21"/>
                <w:szCs w:val="21"/>
                <w:u w:val="none"/>
                <w:lang w:val="en-US" w:eastAsia="zh-CN" w:bidi="ar"/>
              </w:rPr>
              <w:t xml:space="preserve">                                                                                                                                                                                     #3、立柱采用≥80*42*1.0mm，护栏采用≥30*12*1.0mm铝合金型材，玻璃托盘厚≥8mm,表面喷涂环氧树脂防护层，长期使用不掉漆不褪色。</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L-06</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滴水架</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#1、材质:高密度PP；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#2、尺寸：550*400*120mm，27支滴水棒；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#3、底部托盘中间设有排水孔；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#4、可拆卸式滴水棒，方便使用。</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L-07</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单口洗眼器</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技术参数同“A1-11 单口洗眼器”</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94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L-08</w:t>
            </w:r>
            <w:r/>
          </w:p>
        </w:tc>
        <w:tc>
          <w:tcPr>
            <w:tcW w:w="6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通风柜</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#1、规格：1500*850*2350；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#2、外壳说明： 外壳采用≥ 1.0mm 冷轧钢板，酸洗磷化处理后喷涂环氧树脂粉末高温烘烤固化。附着力高、表面硬度耐腐蚀性极强，外形美观；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#3、内壳说明：采用≥5mm灰色，耐酸碱有机溶剂之实验室专用抗蚀材质。设有可拆卸维修孔，便于维修电路、水路、气路；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#4、日光灯说明：防爆灯隐藏于面板上，不与通风柜内气流接触，易更换。采用防爆灯1支，并设有5mm钢化玻璃；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#5、导流板说明：采用≥5mm灰色，耐酸碱有机溶剂之实验室专用抗蚀材质；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#6、电源说明：采用实验室专用防爆电源插座；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#7、窗口说明：铝型材配合塑料型材边框，视窗口采用单块5mm安全玻璃，窗口也可</w:t>
            </w:r>
            <w:r>
              <w:rPr>
                <w:rFonts w:hint="eastAsia" w:ascii="宋体" w:hAnsi="宋体" w:cs="宋体"/>
                <w:i w:val="0"/>
                <w:iCs w:val="0"/>
                <w:color w:val="000000"/>
                <w:sz w:val="21"/>
                <w:szCs w:val="21"/>
                <w:u w:val="none"/>
                <w:lang w:val="en-US" w:eastAsia="zh-CN" w:bidi="ar"/>
              </w:rPr>
              <w:t xml:space="preserve">采用</w:t>
            </w:r>
            <w:r>
              <w:rPr>
                <w:rFonts w:hint="eastAsia" w:ascii="宋体" w:hAnsi="宋体" w:eastAsia="宋体" w:cs="宋体"/>
                <w:i w:val="0"/>
                <w:iCs w:val="0"/>
                <w:color w:val="000000"/>
                <w:sz w:val="21"/>
                <w:szCs w:val="21"/>
                <w:u w:val="none"/>
                <w:lang w:val="en-US" w:eastAsia="zh-CN" w:bidi="ar"/>
              </w:rPr>
              <w:t xml:space="preserve">3块5mm安全玻璃，可左右移动，单块并采用无段平衡装置，可上下移动，自由调节；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#8、调整脚说明：采用直径φ10mm注塑调整脚，防震、防潮、耐腐蚀，可根据室内地坪适当调整柜体高度，最大调节为0-30mm；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#9、集气罩说明：采用PP材质；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#10、配电箱说明：符合220V及380V供电要求，有漏电及电机保护装置；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#11、控制开关说明：防爆开关，集中控制整个电路系统；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#12、工艺说明：所有钢板焊接经环氧树脂粉喷涂后，目视平整无焊点。所有水、电、气路要求安全、适用，并隐藏式安装。在柜体后背板设维修孔；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#13、三块导流板使处于不同高度空间的有害气体分别从不同的段区排出。通风柜以操作表面风速0.5m/s的速度将通风柜中的空气排出，确保无任何残留气体存在。通风效率高，排风量为1800m³/h左右，且噪声小；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#14、下部柜体（一般型底柜），门板：采用1.0mm优质冷轧钢板（双层），无焊连接可拆卸带减震垫，酸洗磷化处理后喷涂环氧树脂粉末高温烘烤固化；</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320"/>
        </w:trPr>
        <w:tc>
          <w:tcPr>
            <w:shd w:val="clear" w:color="auto" w:fill="auto"/>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L-09</w:t>
            </w:r>
            <w:r/>
          </w:p>
        </w:tc>
        <w:tc>
          <w:tcPr>
            <w:shd w:val="clear" w:color="auto" w:fill="ffffff"/>
            <w:tcW w:w="6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药品柜</w:t>
            </w:r>
            <w:r/>
          </w:p>
        </w:tc>
        <w:tc>
          <w:tcPr>
            <w:shd w:val="clear" w:color="auto" w:fill="ffffff"/>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#1、规格：1000*500*2000mm；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#2、柜体：侧板、顶底板采用改性PP材料模具一次成型，表面沙面和光面相结合处理，保证柜体之坚固及密封性，耐腐蚀性强，顶板、底板预留模具成型排风孔。底部镶嵌≥15mm*30*1.2mm钢制横梁，承重力强；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#3、下柜柜门：内框采用改性PP材质模具一次成型，外嵌≥5mm厚钢化烤漆玻璃。上下拉手及三角对称五点固定，防止玻璃的松动或开合。伸缩式PP旋转门轴，四角圆弧倒角，内侧弧形圆边，配锁；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层板：上柜配置两块活动层板，下柜配置一块活动层板，层板全部采用改性PP材料模具一次成型，表面沙面和光面相结合处理，四周有阻水边，底部镶嵌两根≥15mm*30*1.2mm钢制横梁，承重力强，添加防锈喷漆工艺。整体设计为活动式，可随意抽取放在合适的隔层，自由组合各层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#6、拉手：采用改性PP材料模具一次成型，直角梯形四周倒圆与柜门平行，开启方便；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#7、门铰链：采用改性PP材料模具一次成型，伸缩式PP旋转门轴，永不生锈，耐腐蚀性好；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#8、螺丝：不锈钢304材质；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#9、备注：可以用于各种腐蚀性化学品的储藏，如硫酸、盐酸、硝酸、乙酸、硫磺酸等；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#10、阶梯：配一块阶梯；规格≥920*225*140mm,整体PP材料一体注塑成型（非二次焊接或者拼接）,牢固耐用，一共两层，每层高度70mm，宽度≥130mm，同层板组成三层阶梯；</w:t>
            </w:r>
            <w:r/>
          </w:p>
        </w:tc>
        <w:tc>
          <w:tcPr>
            <w:shd w:val="clear" w:color="auto" w:fill="ffffff"/>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ffffff"/>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L-10</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室内通风系统</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#1、主风管：采用具有耐酸碱性能PVCФ400㎜、支分管Ф160㎜，Ф110mm；                                                                                                                                                                 #2、管卡采用碳钢制作，表面经镀铬处理，具有耐腐蚀、防火、防潮等功能；</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1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L-11</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室外通风系统</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#1、采用PVC风管，或PP焊接管具有耐酸碱性能；                                                          </w:t>
            </w:r>
            <w:r>
              <w:rPr>
                <w:rFonts w:hint="eastAsia" w:ascii="宋体" w:hAnsi="宋体" w:eastAsia="宋体" w:cs="宋体"/>
                <w:i w:val="0"/>
                <w:iCs w:val="0"/>
                <w:color w:val="000000"/>
                <w:sz w:val="21"/>
                <w:szCs w:val="21"/>
                <w:u w:val="none"/>
                <w:lang w:val="en-US" w:eastAsia="zh-CN" w:bidi="ar"/>
              </w:rPr>
              <w:t xml:space="preserve">                                                                                                                    #2、规格：主风管直径≥400mm；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#3、管卡采用碳钢制作，表面经镀铬处理，具有耐腐蚀、防火、防潮等功能；</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35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#1、6#离心风机；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#2、材料：PP板材料；                                                                                                                                        </w:t>
            </w:r>
            <w:r>
              <w:rPr>
                <w:rFonts w:hint="eastAsia" w:ascii="宋体" w:hAnsi="宋体" w:eastAsia="宋体" w:cs="宋体"/>
                <w:i w:val="0"/>
                <w:iCs w:val="0"/>
                <w:color w:val="000000"/>
                <w:sz w:val="21"/>
                <w:szCs w:val="21"/>
                <w:u w:val="none"/>
                <w:lang w:val="en-US" w:eastAsia="zh-CN" w:bidi="ar"/>
              </w:rPr>
              <w:t xml:space="preserve">                                                                 #3、电机功率：6A-4kW；                                                                                                                                                                                </w:t>
            </w:r>
            <w:r>
              <w:rPr>
                <w:rFonts w:hint="eastAsia" w:ascii="宋体" w:hAnsi="宋体" w:eastAsia="宋体" w:cs="宋体"/>
                <w:i w:val="0"/>
                <w:iCs w:val="0"/>
                <w:color w:val="000000"/>
                <w:sz w:val="21"/>
                <w:szCs w:val="21"/>
                <w:u w:val="none"/>
                <w:lang w:val="en-US" w:eastAsia="zh-CN" w:bidi="ar"/>
              </w:rPr>
              <w:t xml:space="preserve">                                             #4、技术要求：转速 1450r/min，风量：6677-13353，全压：1139-724，噪声符合国家标准；                                                                                                                                   #5、随机配件：防雨风帽、电机防雨罩、及减震垫；</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变频器</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#1、采用电流无感矢量控制，（380V/5.5kW），额定电压：AC3PH380V+15%，频率：50-60Hz；</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L-14</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消音器</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#1、规格：外径Ф600㎜，内径Ф400㎜、高度≥1000mm, 圆形；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#2、材料：PP材质，内置隔音棉等隔音装置；</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L-15</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风机软连接</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技术参数同“A4-07 风机软连接”</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L-16</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风机控制线</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技术参数同“A4-08 风机控制线”</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58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L-17</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#1、吊顶（约60</w:t>
            </w:r>
            <w:r>
              <w:rPr>
                <w:rStyle w:val="924"/>
                <w:rFonts w:hint="eastAsia" w:ascii="宋体" w:hAnsi="宋体" w:eastAsia="宋体" w:cs="宋体"/>
                <w:sz w:val="21"/>
                <w:szCs w:val="21"/>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1）铝方通吊顶（长1000*宽300*厚1.0mm)颜色定制；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2）龙骨：包含A-字龙骨元件、主龙骨、主龙骨吊件、三角龙骨、三角龙骨吊件等；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3）其他辅件：封边条、钢丝、膨胀螺丝、钢钉、木条等；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#2、墙面（约80㎡）：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1）打磨原有墙面，批腻子一遍，乳胶漆一遍；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#3、地面（约60㎡）：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1）清理原地面基础上的浮尘和砂粒；                                                 </w:t>
            </w:r>
            <w:r>
              <w:rPr>
                <w:rFonts w:hint="eastAsia" w:ascii="宋体" w:hAnsi="宋体" w:eastAsia="宋体" w:cs="宋体"/>
                <w:i w:val="0"/>
                <w:iCs w:val="0"/>
                <w:color w:val="000000"/>
                <w:sz w:val="21"/>
                <w:szCs w:val="21"/>
                <w:u w:val="none"/>
                <w:lang w:val="en-US" w:eastAsia="zh-CN" w:bidi="ar"/>
              </w:rPr>
              <w:t xml:space="preserve">                                                                                                                                                                                                                          2）黑色哑光不锈钢饰面踢脚线；                       </w:t>
            </w:r>
            <w:r>
              <w:rPr>
                <w:rFonts w:hint="eastAsia" w:ascii="宋体" w:hAnsi="宋体" w:eastAsia="宋体" w:cs="宋体"/>
                <w:i w:val="0"/>
                <w:iCs w:val="0"/>
                <w:color w:val="000000"/>
                <w:sz w:val="21"/>
                <w:szCs w:val="21"/>
                <w:u w:val="none"/>
                <w:lang w:val="en-US" w:eastAsia="zh-CN" w:bidi="ar"/>
              </w:rPr>
              <w:t xml:space="preserve">                                                                                                                                                                                                                                                       3）PVC地胶；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#4、线路改造：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1）强电：照明、插座2.5平方国标线材，PVC阻燃套管、阻燃型86盒，电线无接头、分线有盒，国标墙面地面插座、双控开关移位及增补；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2）弱电：PVC阻燃套管、阻燃型86盒，网线、音频线、视频线、控制线敷设及线头压制，配套各类接着头；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3）其他：除楼板以外均须开槽暗敷并修复，包含垃圾清运；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#5、照明：LED光源三基色栅格灯6组，外形尺寸约600×600mm，嵌入式安装，银色铝质型材边框，预留安装定位台阶面，边框厚度≤12（mm)；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#6、其他：全部文宣内容及装修样式，施工前需经采购方确认；包含施工垃圾清运。</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833" w:type="pct"/>
        <w:tblInd w:w="-7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02"/>
        <w:gridCol w:w="6263"/>
        <w:gridCol w:w="895"/>
        <w:gridCol w:w="711"/>
      </w:tblGrid>
      <w:tr>
        <w:trPr>
          <w:trHeight w:val="38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M、智能药品室 </w:t>
            </w:r>
            <w:r/>
          </w:p>
        </w:tc>
      </w:tr>
      <w:tr>
        <w:trPr>
          <w:trHeight w:val="5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1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1115"/>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M-01</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智能管理柜</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#1.产品整体规格尺寸：约1080×2000×540mm；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智能管理柜设备支持RFID读写、双目摄像头人脸识别、二维码条码扫描、电子称重精确到0.1g、热敏标签打印，电控锁控制（支持单模块最大50锁控可选），内置WINDOWS操作系统，支持联网组网，支持WIFI和网口联网，供电电压:AC2201.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#3.PP板所用的PP原材料需符合GB/T 1633-2000 维卡软化温度检测判定基准：≥72</w:t>
            </w:r>
            <w:r>
              <w:rPr>
                <w:rFonts w:hint="eastAsia" w:ascii="宋体" w:hAnsi="宋体" w:eastAsia="宋体" w:cs="宋体"/>
                <w:i w:val="0"/>
                <w:iCs w:val="0"/>
                <w:color w:val="000000"/>
                <w:sz w:val="21"/>
                <w:szCs w:val="21"/>
                <w:u w:val="none"/>
                <w:lang w:val="en-US" w:eastAsia="zh-CN" w:bidi="ar"/>
              </w:rPr>
              <w:t xml:space="preserve">.4℃，检测结论：符合。依据GB/T 1634.1-2019热变形温度检测判定基准：≥89.5℃，检测结论：符合。依据GB/T 9341-2008弯曲强度检测判定基准：≥27，检测结论：符合。依据GB/T 1843-2008悬臂梁缺口冲击强度检测判定基准：≥10，检测结论：符合。依据GB/T 2411-2008邵氏硬度检测判定基准：≥65，检测结论:符合。依据GB/T 1033.1-2008密度检测判定基准：≥1，检测结论:符合。依据GB/T 9345.1-2008灰分检测判定基准：≥20，检测结论:符合。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#4.通过第三方检测机构性能测试，检测项目至少包含：拉伸强度、断裂伸长率，拉伸强度检测判定基准：≥18，检测结论：符合；断裂伸长率检测判定基准：≥60，检测结论：符合。依据GB/T 3682.1-2018熔体质量流动速率检测判定基准：≥7,检测结论：符合。供依据GB/T 1043.1-2008简支梁缺口冲击检测判定基准：</w:t>
            </w:r>
            <w:r>
              <w:rPr>
                <w:rFonts w:hint="eastAsia" w:ascii="宋体" w:hAnsi="宋体" w:eastAsia="宋体" w:cs="宋体"/>
                <w:i w:val="0"/>
                <w:iCs w:val="0"/>
                <w:color w:val="000000"/>
                <w:sz w:val="21"/>
                <w:szCs w:val="21"/>
                <w:highlight w:val="none"/>
                <w:u w:val="none"/>
                <w:lang w:val="en-US" w:eastAsia="zh-CN" w:bidi="ar"/>
              </w:rPr>
              <w:t xml:space="preserve">≥6.5，检测结论：符合；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#5.柜底部设置进风口；柜底装有四个移动尼龙轮，便于柜体移动；前轮后有2个手动调节螺杆，方便危化品</w:t>
            </w:r>
            <w:r>
              <w:rPr>
                <w:rFonts w:hint="eastAsia" w:ascii="宋体" w:hAnsi="宋体" w:eastAsia="宋体" w:cs="宋体"/>
                <w:i w:val="0"/>
                <w:iCs w:val="0"/>
                <w:color w:val="000000"/>
                <w:sz w:val="21"/>
                <w:szCs w:val="21"/>
                <w:u w:val="none"/>
                <w:lang w:val="en-US" w:eastAsia="zh-CN" w:bidi="ar"/>
              </w:rPr>
              <w:t xml:space="preserve">储存柜定位。柜顶部中间开有φ160mm的出风口，出风口可以与风管连接。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#6.智能称重模块精度1g,最大称重范围20KG；供电电压: DC5V，功耗:低于0.5W，传感器激励电压: 5V，采样速率: 10HZ或40Hz可设置，分辨率: &gt;10000分度，接口形式: RS485，通讯协议:标准MODBUS RTU通讯协议，适用环境温度: -40~85°C；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#7.自动感应模块：产品尺寸：50*50*10mm，工作电压：DC 12V，工作频率：865~868MHz.902~928MHz，工作协议：IS018000-6C，工作模式：主动模式、被动模式、触发模式，跳频方式：广 谱跳频(FHSS)或定频，可由软件设置，通讯接口：USB、WG26/34、RS485，读卡功率：0~30dBm可调，天线增益：圆极化陶瓷天线，读卡距离：0-1米，功耗：最大功率不大于4W；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#8.内嵌标签打印机耗材：热敏纸，默认固件支持热敏连续票据纸，可以定制热敏不干胶标签版本；纸宽：58mm；纸仓：&lt;40mm；切刀：带刀；打印速度：60mm/s；打印方式：行式热敏打印；分辨率：203dpi8点/mm 每行384点；打印内容：图形、条形码、一维码、二维码、字符；打印寿命：50公里。</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60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智能管理系统</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#1.智能管理柜适用于试剂耗材、药品、危化品、麻醉剂等管制物品的存储管理，广泛应用于高校、实验室、科研院所、医疗机构、检测机构等行业；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#2.支持如下功能：库存管理：入</w:t>
            </w:r>
            <w:r>
              <w:rPr>
                <w:rFonts w:hint="eastAsia" w:ascii="宋体" w:hAnsi="宋体" w:eastAsia="宋体" w:cs="宋体"/>
                <w:i w:val="0"/>
                <w:iCs w:val="0"/>
                <w:color w:val="000000"/>
                <w:sz w:val="21"/>
                <w:szCs w:val="21"/>
                <w:u w:val="none"/>
                <w:lang w:val="en-US" w:eastAsia="zh-CN" w:bidi="ar"/>
              </w:rPr>
              <w:t xml:space="preserve">库登记（登记、审核、清单）；出库登记（登记、审核、清单）；库存查询(标签打印、标签RFID）；库存盘点；试剂使用（试剂领取、自动称重、自动感应、试剂归还、试剂报损）；台账（领取记录、归还记录、损坏记录）；柜子管理（开门控制(双人控制)、开门记录、开门状态）；通风控制（风机状态监控、风机开关）；ICSC（危害接触类型、急性危险/症状、预防、急救/消防）；统计报表（资产报表、运维报表）；风险管理（风险扫描、风险处理）；视频监控；账号权限（账号管理、人脸管理、角色管理）；身份认证（账户密码、人脸识别）；操作日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特色功能RFID标签智能感知，支持标签自助打印；试剂耗材自动称重，精确到0.1g;门锁远程控制、开门关门精确记录；人脸识别检测、支持离线操作，安全无风险；视频监控24小时全天候覆盖；风险自主扫描，危化品存储、使用风险早发现；试剂耗材低库存预警；支持最多1+N主副柜自由组合；支持管理柜的组网联网。</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2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智能管理平台</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#1.支持对全校智能组合柜的远程管理，支持动态维护组合柜；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#2.支持远程开启关闭风机，查看视频监控、查看动态库存，低库存预警，库存查询。</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56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M-04</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标签纸</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#1.标签纸：芯片类型：U7/U8/U9/H3/H10；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#2.工作频率：860~960MHZ；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#3.工作协议:IS018000-6C；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#4.工作温度:-40℃C~+85℃；</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M-05</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监控录像机</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#1.网络硬盘录像机监控主机4路高清POE网线供电NVR满配4个摄像头带4T硬盘，网络视频输入：4路；网络视频带宽(输入/输出 )：40Mbps/60Mbps；HDMI输出：1路，分辨率:1920x1080/60Hz，1280x1024/60Hz1280x720/60Hz，1024x768/60Hz；VGA输出：1路，1920x1080/</w:t>
            </w:r>
            <w:r>
              <w:rPr>
                <w:rFonts w:hint="eastAsia" w:ascii="宋体" w:hAnsi="宋体" w:eastAsia="宋体" w:cs="宋体"/>
                <w:i w:val="0"/>
                <w:iCs w:val="0"/>
                <w:color w:val="000000"/>
                <w:sz w:val="21"/>
                <w:szCs w:val="21"/>
                <w:u w:val="none"/>
                <w:lang w:val="en-US" w:eastAsia="zh-CN" w:bidi="ar"/>
              </w:rPr>
              <w:t xml:space="preserve">60Hz，1280x1024/60Hz，1280x720/60Hz，1024x768/60Hz；音频输出：不支持；录像分辨率：4MP/3MP/1080p/UXGA/720p/VGA/4CIF/DCIF/2CIF/CIF/QCIF；同步回放：4；解码能力：4路1080P；视频解码格式：H.265/Smart 265/H.264/Smart 264；类型：1个SATA接口；最大容量：支持容量最大6TB的硬盘；存储容量：4TB；录像模式：手动录像、定时录像、移动侦测录像、报警录像、动测或报警录像、动测和报警录像；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#2.回放模式：即时回放、常规回放、事件回放、标签回放、外部文件回放；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#3.备份模式：常规备份、事件备份；网络协议：IPv6、UPnP( 即插即用)、NTP( 网络校时)、SADP(设备网络搜索)、DHCP(自动获取IP地址)；网络接口：1个，RJ45 10M/100M自适应以太网口；USB接口：2个USB 2.0(后)；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#4.PoE接口：4个，RJ45 10M/100M自适应以太网口；标准：IEEE 802.3af/at；输出功率：&lt;=36W；电源：DC 48V；工作温度：-10°C~+55°C；工作湿度：10%~90%；重量(不含硬盘）：&lt;=1kg；尺寸：200mm(宽)x200mm(深)x48mm(高)；功耗(不含硬盘：&lt;=10w。</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6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M-06</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#1.存储编码：H.265，像素：200万，焦距：4mm，红外夜视距离：30m，补光灯数量：1个，供电方式：POE网络供电，夜视类型：红外夜视，探头个数：1个，报警方式：手机推送；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#2.智能识别：移动识别，适用面积：40-80㎡，监控类型：半球监控；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#3.供网方式：网线，存储方式：硬盘，云存储安全协议：ISO27001；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#4.防水等级：无防水等级；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摄像头符合GB/T36480-2018《信息技术紧缩嵌入式摄像头通用规范》检测标准，检测项目包含功能：白平衡、背光补偿、数字降噪、宽动态、移动侦测、隐私遮挡等不少于9项检测，分项判定均为：合格；视频：压缩、分辨率、视频调节等不少于4项检测，分项判定均为：合格；网络：以太网、协议等不少于5项检测，分项判定均为：合格；音频及音频输入，分项判定均为：合格。</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94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M-07</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#1.功率：110W，电压：AC220V；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#2.风速：10.8m/s，静压：104Pa，噪音：50db，转速：1450r/min，口径：200mm，风量：1225立方米/h。</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8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M-08</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试剂组合柜</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#1.产品尺寸：约900*2000*450mm；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#3.通风控制装置：柜体底部应设置进风口及可调风阀，可调风阀旋转灵活，并能控制风量大小。通风管道口径宜采用Φ110mm，通风管应耐高温、阻燃、耐腐蚀。</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M-09</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药品柜</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技术参数同“L-09 药品柜”</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0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M-10</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灭火设备</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#1.4KG干粉灭火器，符合安全条例，满足意外事故需要；两个灭火器和1个灭火器箱。</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M-11</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通风系统（室内）</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#1.主通风管规格：φ160mm/200mm，优质PVC成品管道；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#2.支管道规格：φ110mm/160mm，优质PVC成品管道；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#3.管道配件：管道三通、弯头、变径、直接。</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5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M-12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安装辅件</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#1.含固定支架、连接管、耗材等。</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5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M-13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技术参数同“L-17 环境布置”</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851" w:type="pct"/>
        <w:tblInd w:w="-74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328"/>
        <w:gridCol w:w="5945"/>
        <w:gridCol w:w="901"/>
        <w:gridCol w:w="918"/>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N、智能危化品室</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技术参数同“M-01 智能管理柜”</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智能管理系统</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技术参数同“M-02 智能管理系统”</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智能管理平台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技术参数同“M-03 智能管理平台”</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标签纸</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技术参数同“M-04 标签纸”</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监控录像机</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技术参数同“M-05 监控录像机”</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技术参数同“M-06 摄像头”</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技术参数同“M-07 风机”</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60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危险品柜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#1.尺寸：约700*2000*450mm；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#3.柜底部设置进风口；柜底装有四个移动尼龙轮，便于柜体移动；前轮后有2个手动调节螺杆，方便危化品储存柜定位。柜顶部中间开有φ110mm的出风口，出风口可以与风管连接；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#4.通风控制装置：柜体底部应设置进风口及可调风阀，可调风阀旋转灵活，并能控制风量大小。通风管道口径宜采用Φ110mm，通风管应耐高温、阻燃、耐腐蚀。</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91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#1.尺寸：约700*2000*450mm；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底部设置进风口；柜底装有四个移动尼龙轮，便于柜体移动；前轮后有2个手动调节螺杆，方便危化品储存柜定位。柜顶部中间开有φ110mm的出风口，出风口与风管连接密封件：柜体门与柜体之间应安装防火膨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#4.通风控制装置：柜体底部应设置进风口及可调风阀，可调风阀旋转灵活，并能控制风量大小。通风管道口径宜采用Φ110mm，通风管应耐高温、阻燃、耐腐蚀。                                                                                                                             </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92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易燃易爆品储存柜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#1.尺寸：700*2000*450mm；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#2.整体为双层1.2mm防火钢板构造，两层钢板之间间隔40mm，内填特种防火材料，防火性能更为卓越。柜体采用全焊接，非铆结构使其拥有更长的使用时间，因为减少了空气间隙可在着火时提供更好的防护；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#3.内外部喷涂前经酸洗磷化处理后覆有环氧和聚酯混合耐防化无铅涂层，保持高光洁度并最大限度的降低腐蚀和湿气及紫外线的影响.红色和蓝色柜分别用进口粉做氟碳喷涂；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#4.采用优质冷轧钢板，增加强度，防火性能更好，醒目的反光标签，在火灾情况下具有高可见性，焊接的隔板挂钩连接隔板提供最大防滑性。不易损坏，本产品具有防爆性能；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#5.独有的镀锌层板，防腐蚀，防液漏，层板具有150公斤承重力。独特的安全角度设计，层板可安全地引导意外飞溅的液体到防漏蓄液槽的底部。蓄液槽高度为50mm；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#6.柜身底部50mm高的防漏液槽最大可能的防止化学液体的外溢；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#7.柜身设有静电接地传导端口，方便连接静电接地导线；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#8.内置消焰装置通风口，位于柜体两侧，更好地保持通风和排气。</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通风系统（室内）</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#1.主通风管规格：φ160mm/200mm，优质PVC成品管道；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#2.支管道规格：φ110mm/160mm，优质PVC成品管道；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#3.管道配件：管道三通、弯头、变径、直接。</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48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突发事件接警云平台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系统统计显示内容：可对报警设备总数统计，包括设备在线率、设备总数、在线设备、离线设备、报警设备、预警数量以及监测时长等数据展示。设备在线列表：可展示报警设备所在空间名称、设备编号、设备名称、设备在线/离线状态以及上一次在线时间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信息处理：应当突发事件接警云平台电脑客户端弹出警情信息，可以进行查看具体的报警信息（地图、搜索经度、纬度、地址、备注信息），并且能够对该报警信息作出上报、误报、开警号、关警号、防护、停警声等相应的处理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平台系统可采用云服务器部署方式，支持广域网操作和管理，学校用户支持通过电脑端或手机端完成所有的管理操作，方便学校进行账户管理，可以对学校、组织机构、监测楼栋以及监测空间进行管理操作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#4.账号管理：应可以刷新、新增系统管理员、修改管理员、删除管理员、搜索管理员账号等相应的操作；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#5.设备报警记录：应可以刷新、生成Excel、搜索、查看处理状态、警情、报警时间、联系电话、地址、设备编码、防区、设备MAC、接警人、微信接警人、处理时间、地图、监控视频、防区图、离线地图；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互联功能：应可以与系统主机联接，当系统主机接收到与其相连接的系统分机、移动式报警控制器发出的报警信号时，系统主机应可以通过网线或SIM卡联网方式将报警信号传输至与其相连的突发事件接警云平台电脑客户端、手机APP软件或微信端以及Internet网页端接收到报警信息后，应可以自动弹出具体的警情信息、地图（包含经度、纬度、地址、地图位置）、电话、防区、报警时间、设备MAC等信息；接警客户端接收到报警信息后，显示报警信息的同时，自动开启播放</w:t>
            </w:r>
            <w:r>
              <w:rPr>
                <w:rFonts w:hint="eastAsia" w:ascii="宋体" w:hAnsi="宋体" w:cs="宋体"/>
                <w:i w:val="0"/>
                <w:iCs w:val="0"/>
                <w:color w:val="000000"/>
                <w:sz w:val="21"/>
                <w:szCs w:val="21"/>
                <w:u w:val="none"/>
                <w:lang w:val="en-US" w:eastAsia="zh-CN" w:bidi="ar"/>
              </w:rPr>
              <w:t xml:space="preserve">与</w:t>
            </w:r>
            <w:r>
              <w:rPr>
                <w:rFonts w:hint="eastAsia" w:ascii="宋体" w:hAnsi="宋体" w:eastAsia="宋体" w:cs="宋体"/>
                <w:i w:val="0"/>
                <w:iCs w:val="0"/>
                <w:color w:val="000000"/>
                <w:sz w:val="21"/>
                <w:szCs w:val="21"/>
                <w:u w:val="none"/>
                <w:lang w:val="en-US" w:eastAsia="zh-CN" w:bidi="ar"/>
              </w:rPr>
              <w:t xml:space="preserve">主机对应的警报声，方便师生、安保负责人通过警报声辨别何种突发事件来临，做出正确的应对措施；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设备管理：应可以刷新，新增设备，生成Excel，选择、查看设备编码、设备MAC、设备状态、设备地址、防区图、监控视频、离线地图、修改设备设置、删除设备、冻结、恢复、布防、撤防、全选、设置设备内容信息、搜索等相应的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可以刷新，新增、修改、删除以及查询报警联系人，当发生应急突发事件报警时，支持以电话、短信的方式通知报警联系人，对报警设备进行报警参数进行配置管理，可选择报警设备，设置相应的推送方式、推送次数以及报警联系人，可以按照防区字段、报警设备类型进行分类查询，展示报警设备所在空间名称、设备编号、设备名称、设备在线/离线状态以及上一次在线时间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#9.数据统计分析：应将设备、设备警情记录、非法撤防记录、设备不在线记录按天、按月、按年进行统计，每种数据统计结果按照已处理、误报、撤防、布防四种情况进行分类,通过扇形图的方式进行直观呈现；</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N-13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安装辅件</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#1.含固定支架、连接管、耗材等。</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N-14</w:t>
            </w:r>
            <w:r/>
          </w:p>
        </w:tc>
        <w:tc>
          <w:tcPr>
            <w:tcBorders>
              <w:top w:val="non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技术参数同“L-17 环境布置”</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851" w:type="pct"/>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91"/>
        <w:gridCol w:w="5938"/>
        <w:gridCol w:w="946"/>
        <w:gridCol w:w="899"/>
      </w:tblGrid>
      <w:tr>
        <w:trPr>
          <w:trHeight w:val="700"/>
        </w:trPr>
        <w:tc>
          <w:tcPr>
            <w:gridSpan w:val="5"/>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O、物理准备室</w:t>
            </w:r>
            <w:r/>
          </w:p>
        </w:tc>
      </w:tr>
      <w:tr>
        <w:trPr>
          <w:trHeight w:val="80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297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47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64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O-01</w:t>
            </w:r>
            <w:r/>
          </w:p>
        </w:tc>
        <w:tc>
          <w:tcPr>
            <w:tcW w:w="6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p>
        </w:tc>
        <w:tc>
          <w:tcPr>
            <w:tcW w:w="297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技术参数同“L-01 准备台”</w:t>
            </w:r>
            <w:r/>
          </w:p>
        </w:tc>
        <w:tc>
          <w:tcPr>
            <w:tcW w:w="47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74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O-02</w:t>
            </w:r>
            <w:r/>
          </w:p>
        </w:tc>
        <w:tc>
          <w:tcPr>
            <w:tcW w:w="64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仪器储存柜</w:t>
            </w:r>
            <w:r/>
          </w:p>
        </w:tc>
        <w:tc>
          <w:tcPr>
            <w:tcW w:w="297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技术参数同“L-09 药品柜”</w:t>
            </w:r>
            <w:r/>
          </w:p>
        </w:tc>
        <w:tc>
          <w:tcPr>
            <w:tcW w:w="4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4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O-03</w:t>
            </w:r>
            <w:r/>
          </w:p>
        </w:tc>
        <w:tc>
          <w:tcPr>
            <w:tcW w:w="64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W w:w="297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技术参数同“L-17 环境布置”</w:t>
            </w:r>
            <w:r/>
          </w:p>
        </w:tc>
        <w:tc>
          <w:tcPr>
            <w:tcW w:w="4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833" w:type="pct"/>
        <w:tblInd w:w="-71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328"/>
        <w:gridCol w:w="5933"/>
        <w:gridCol w:w="952"/>
        <w:gridCol w:w="864"/>
      </w:tblGrid>
      <w:tr>
        <w:trP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P、生物准备室1</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技术参数同“L-01 准备台”</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试剂架</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技术参数同“L-05 试剂架”</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滴水架</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技术参数同“L-06 滴水架”</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技术参数同“L-09 药品柜”</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技术参数同“L-17 环境布置”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806" w:type="pct"/>
        <w:tblInd w:w="-6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330"/>
        <w:gridCol w:w="5949"/>
        <w:gridCol w:w="936"/>
        <w:gridCol w:w="820"/>
      </w:tblGrid>
      <w:tr>
        <w:trPr>
          <w:trHeight w:val="480"/>
        </w:trPr>
        <w:tc>
          <w:tcPr>
            <w:gridSpan w:val="5"/>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Q、生物准备室2</w:t>
            </w:r>
            <w:r/>
          </w:p>
        </w:tc>
      </w:tr>
      <w:tr>
        <w:trPr>
          <w:trHeight w:val="58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00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110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Q-01</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实验室水槽</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#1、采用实验室专用高密度PP一体化成型水槽，易清洁，耐腐蚀，且利于台面残水自然回流，美观实用；具耐酸碱、耐有机溶剂、耐紫外线等特点。</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10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Q-02</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0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Q-03</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洗眼器</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p>
        </w:tc>
        <w:tc>
          <w:tcPr>
            <w:tcW w:w="47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45"/>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Q-04</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边台</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#1、全钢结构3000×700×850（±10）mm；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#2、台面：采用≥12mm厚双面膜实芯理化板台面，台面边缘用同质材料板双层加厚至25mm；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#3、柜体：整体采用≥1.0mm厚冷轧钢板，全部钢制件纳米陶瓷镀膜防锈处理；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#4、防撞胶垫：装于抽屉及门板内侧，减缓碰撞，保护柜体；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#5、铰链：采用平板铰链(中号)，开合十万次不变形；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#6、滑轨：抽屉全部采用三节滚珠轨，开合十万次不变形，承重性强，滑动性能良好，无噪音；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#7、调整脚：柜体内可调节镀锌铁质调整脚；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#8、抽屉及门板的材质，横梁框架的材质：采用≥1.0mm厚冷轧钢板，全部钢制件纳米陶瓷镀膜防锈处理；</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28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Q-05</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药品、仪器储存柜</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技术参数同“L-09 药品柜”</w:t>
            </w:r>
            <w:r/>
          </w:p>
        </w:tc>
        <w:tc>
          <w:tcPr>
            <w:tcW w:w="47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Q-06</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#1、进水管采用 PP-R 管，主管直径≥25mm；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#2、排水管采用 PVC-U 管，管直径≥50mm；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#3、弯头、直接、三通、外丝管套、生料带、PVC、管胶水等；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#4、上水管采用不锈钢波纹管编织软管，长度不小于 75cm，下水管采用优质硅胶接口 PVC 软管；</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68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Q-07</w:t>
            </w:r>
            <w:r/>
          </w:p>
        </w:tc>
        <w:tc>
          <w:tcPr>
            <w:tcW w:w="67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技术参数同“L-17 环境布置”</w:t>
            </w:r>
            <w:r/>
          </w:p>
        </w:tc>
        <w:tc>
          <w:tcPr>
            <w:tcW w:w="47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1"/>
          <w:szCs w:val="21"/>
          <w:highlight w:val="none"/>
          <w:lang w:val="en-US" w:eastAsia="zh-CN" w:bidi="ar-SA"/>
        </w:rPr>
      </w:r>
      <w:r/>
    </w:p>
    <w:p>
      <w:pPr>
        <w:numPr>
          <w:ilvl w:val="0"/>
          <w:numId w:val="0"/>
        </w:numPr>
        <w:ind w:right="0"/>
        <w:keepLines w:val="0"/>
        <w:keepNext w:val="0"/>
        <w:pageBreakBefore w:val="0"/>
        <w:spacing w:beforeAutospacing="0" w:afterAutospacing="0"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numPr>
          <w:ilvl w:val="0"/>
          <w:numId w:val="0"/>
        </w:numPr>
        <w:ind w:right="0"/>
        <w:keepLines w:val="0"/>
        <w:keepNext w:val="0"/>
        <w:pageBreakBefore w:val="0"/>
        <w:spacing w:beforeAutospacing="0" w:afterAutospacing="0"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bl>
      <w:tblPr>
        <w:tblStyle w:val="677"/>
        <w:tblW w:w="497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34"/>
        <w:gridCol w:w="4936"/>
        <w:gridCol w:w="1233"/>
        <w:gridCol w:w="1237"/>
        <w:gridCol w:w="1263"/>
      </w:tblGrid>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泗洪姜堰实验学校初中部功能室、实验室采购项目采购包2</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采购清单明细表及技术参数要求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功能室科目名称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"'AA-生物标本室'!A1"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AA-生物标本室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"'AB-历史地理教室'!A1"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AB-历史地理教室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"'AC-生物园地'!A1"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AC-生物园地</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"'AD-4K精品录播系统'!A1"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AD-4K精品录播教室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"'AE-初中化学仪器'!A1"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AE-初中化学仪器</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"'AF-初中生物仪器'!A1"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AF-初中生物仪器</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"'AG-初中物理仪器'!A1"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AG-初中物理仪器</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"'AH-劳技教室1'!A1"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AH-劳技教室1</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"'AI-劳技教室2'!A1"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AI-劳技教室2</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"'AJ-劳技教室3 '!A1"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AJ-劳技教室3</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"'AK-劳技教室4（创客教室）'!A1"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AK-劳技教室4（创客教室）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"'AL-舞蹈教室'!A1"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AL-舞蹈教室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"'AM-音乐合唱教室1'!A1"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AM-音乐合唱教室1</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"'AN-音乐教室2'!A1"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AN-音乐教室2</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"'AO-心理咨询室'!A1"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AO-心理咨询室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"'AP-智慧书法教室'!A1"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AP-智慧书法教室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"'AQ-传统书法教室'!A1"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AQ-传统书法教室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"'AR-美术教室1'!A1"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AR-美术教室1</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"'AS-美术教室2'!A1"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AS-美术教室2</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"'AT-美术教室3'!A1"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AT-美术教室3</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bl>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br w:type="page" w:clear="all"/>
      </w:r>
      <w:r/>
    </w:p>
    <w:tbl>
      <w:tblPr>
        <w:tblStyle w:val="677"/>
        <w:tblW w:w="5190" w:type="pct"/>
        <w:tblInd w:w="8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4"/>
        <w:gridCol w:w="1322"/>
        <w:gridCol w:w="6655"/>
        <w:gridCol w:w="671"/>
        <w:gridCol w:w="709"/>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AA-生物标本室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AA1-01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单面标本柜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木结构规格：约1000*500*2000mm；下柜采用全木结构，橱体基材采用16㎜厚E1级三聚氰胺板，其截面用2㎜厚PVC封边条机械高温热熔胶封边，具有粘力强、密封性好，牢固、美观、耐用的特点；一块层板为16MM三聚氰胺板，长边采用30.5*24MM,壁厚1.2MM专用铝型材加固，防止层板弯曲变形铝型材可以插入标签贴，方便药品及仪器放置分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#2.上部高1400mm，四面为5mm厚透明白玻镶嵌，双面为金属包边白玻推拉门设计，内部两层5mm厚玻璃活动隔层；下部橱柜高为600mm，板式对开门，不锈钢弓型拉手；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#3.连接件：ABS专用连接组装件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#4.脚垫：采用特制模具优质注塑脚垫，高度为2.5cm，高度可调，可有效防潮；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铝合金型材符合GB/T10125-2021《人造气氛腐蚀试验盐雾试验》和GB/T6461-2002《金属基体上金属和其他无机覆盖层经腐蚀试验后的试样和试件的评级》标准，检测项目包含中性盐雾试验至少10h，检测结果达到10级。符合GB/T1865-2009《色漆和清漆人工气候老化和人工辐射曝露滤过的氙弧辐射》和GB/T6461-2002《金属基体上金属和其他无机覆盖层经腐蚀试验后的试样和试件的评级》标准，检测项目包含耐人工气候老化性至少10h，检测结果达到10级。</w:t>
            </w:r>
            <w:r>
              <w:rPr>
                <w:rFonts w:hint="eastAsia" w:ascii="宋体" w:hAnsi="宋体" w:eastAsia="宋体" w:cs="宋体"/>
                <w:b/>
                <w:bCs/>
                <w:i w:val="0"/>
                <w:iCs w:val="0"/>
                <w:color w:val="000000"/>
                <w:sz w:val="21"/>
                <w:szCs w:val="21"/>
                <w:u w:val="none"/>
                <w:lang w:val="en-US" w:eastAsia="zh-CN" w:bidi="ar"/>
              </w:rPr>
              <w:t xml:space="preserve">（提供具有CMA认证标识的第三方检测机构出具的检测报告原件扫描件）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“泗洪湿地”和“洪泽湖”生物标本展</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ffffff"/>
                <w:sz w:val="21"/>
                <w:szCs w:val="21"/>
                <w:u w:val="none"/>
              </w:rPr>
            </w:pPr>
            <w:r>
              <w:rPr>
                <w:rFonts w:hint="eastAsia" w:ascii="宋体" w:hAnsi="宋体" w:eastAsia="宋体" w:cs="宋体"/>
                <w:b/>
                <w:bCs/>
                <w:i w:val="0"/>
                <w:iCs w:val="0"/>
                <w:color w:val="ffffff"/>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丹顶鹤</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白腰勺鹬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东方白鹳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鹊鸭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普通燕鸥</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白腰杓鹬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白枕鹤</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黑尾塍鹬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黑喉潜鸟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凤头䴙䴘</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卷羽鹈鹕</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栗苇鳽</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黄斑苇鳽</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紫背苇鳽</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黑头白鹮</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凤头潜鸭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斑头秋沙鸭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普通鵟（狂）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大鵟（狂）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蓑羽鹤</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蒙古沙鸻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铁嘴沙鸻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白额燕鸥</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草鸮</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领角鸮</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长尾夜鹰</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大嘴乌鸦</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雪雁</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白琵鹭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小天鹅</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大天鹅</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白眼潜鸭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青脚鹬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斑嘴鸭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针尾鸭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斑背潜鸭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绿头鸭♂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绿头鸭♀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绿翅鸭♂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绿翅鸭♀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翘鼻麻鸭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赤麻鸭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赤颈鸭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黑水鸡</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鱼类—翘嘴鲌</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鱼类—红尾鲌</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鱼类—黄尾鲴</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鱼类—鲢鱼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鱼类—鳙鱼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鱼类—鲤鱼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鱼类—鲫鱼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鱼类—鮰鱼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鱼类—鳜鱼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鱼类—乌鳢</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鱼类—塘鲺</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鱼类—黄颡鱼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鱼类—青鱼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鱼类—草鱼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鱼类—赤眼鳟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鱼类—鳊鱼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鱼类—沙塘鳢</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鱼类—黄鳝</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鱼类—泥鳅</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鱼类—中华绒螯蟹</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獐</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#1.动物真毛皮贴毛制成。含亚克力L型展示牌，安装摆放展示牌需显示具体产品名称、学名及相关产品科普简介；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刺猬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松鼠</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猪獾</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麝鼠</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滑鼠蛇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赤链蛇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标本走廊墙展示</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ffffff"/>
                <w:sz w:val="21"/>
                <w:szCs w:val="21"/>
                <w:u w:val="none"/>
              </w:rPr>
            </w:pPr>
            <w:r>
              <w:rPr>
                <w:rFonts w:hint="eastAsia" w:ascii="宋体" w:hAnsi="宋体" w:eastAsia="宋体" w:cs="宋体"/>
                <w:b/>
                <w:bCs/>
                <w:i w:val="0"/>
                <w:iCs w:val="0"/>
                <w:color w:val="ffffff"/>
                <w:sz w:val="21"/>
                <w:szCs w:val="21"/>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蝴蝶标本100种</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种不同蝴蝶。蝴蝶需包含凤蝶类25种，粉蝶类15种，斑蝶类10种，眼蝶类2种，环蝶类2种，蛱蝶类50种。标本盒尺寸不小于24*25*3cm，每盒4只，25盒，蝴蝶完全展翅。每只蝴蝶需带有中文名、学名、分布区域等详细文字介绍。标本盒为精品木盒，浮法玻璃面，标本盒背板采用E1级环保背板制作。标本盒背板佩带v型挂钩，可直接悬挂挂墙。标本盒背板佩带可直接支撑摆放的支架。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蛾类标本100种</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#1.精品木盒，标本盒采用浮法玻璃面制作。蛾类完全展翅。一盒4只-5只，一共20盒。尺寸：30*25*4cm。生产厂家品牌需经商标注册，并持有品牌商标注册证书。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昆虫100种</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少于100种昆虫制作，尺寸不小于24*25*3cm，每盒10只，共10盒。标本盒为精品木盒，浮法玻璃面，标本盒背板采用E1级环保背板制作。标本盒背板佩带v型挂钩，可直接悬挂挂墙。标本盒背板佩带可直接支撑摆放的支架。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植物覆膜标本50种（含框）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#1.精品专用木框包装，可直接挂墙展示。需包含圆叶牵牛，锦绣杜鹃，水蜜桃，月季花，白兰花，金丝桃，圆盖阴石蕨，侧柏，小麦，荠</w:t>
            </w:r>
            <w:r>
              <w:rPr>
                <w:rFonts w:hint="eastAsia" w:ascii="宋体" w:hAnsi="宋体" w:eastAsia="宋体" w:cs="宋体"/>
                <w:i w:val="0"/>
                <w:iCs w:val="0"/>
                <w:color w:val="000000"/>
                <w:sz w:val="21"/>
                <w:szCs w:val="21"/>
                <w:u w:val="none"/>
                <w:lang w:val="en-US" w:eastAsia="zh-CN" w:bidi="ar"/>
              </w:rPr>
              <w:t xml:space="preserve">，萝卜，柳杉，苦苣菜，黄金菊，凤尾蕨，大麦，小白酒草，构，油菜，水仙，海棠，芒萁，蕨，鸡爪槭，甘薯，樟，扇叶铁线蕨，落花生，旱芹，紫叶李，垂柳，江南卷柏，水稻，大豆，狗尾草，红叶石楠，裂叶千牛，扁穗莎草，二球悬铃木，黄金香柳，羊蹄甲，复羽栾树，乌蕨，鹅观草，毛单竹，鸭跖草，野菊，茄，野老鹳草，朴等50种植物。A4尺寸。内置物由新鲜植物压制吸水，经严格消毒、无虫蛀、无霉变，真空过塑包装，永久保存。采用白色卡纸塑封，立体感强。标本右下角需明显体现植物的门、目、属、纲、木、科，及该植物的拉丁文学名名称等相关信息。</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草本植物15种（含框）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#1.精品专用木框包装，可直接挂墙展示。1.复膜需明显体现植物的门、目、属、纲、木、科，及该植物的拉丁文学名名称。生产厂家品牌需经商标注册，并持有品牌商标注册证书。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木本植物15种（含框）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#1.精品专用木框包装，可直接挂墙展示。1.复膜需明显体现植物的门、目、属、纲、木、科，及该植物的拉丁文学名名称。生产厂家品牌需经商标注册，并持有品牌商标注册证书。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有趣的金龟子—墨绿彩丽金龟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有趣的金龟子—褐色宝石金龟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有趣的金龟子—暗蓝异花金龟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有趣的金龟子—宽带鹿角花金龟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有趣的金龟子—日拟阔花金龟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有趣的金龟子—铜绿丽金龟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有趣的金龟子—白星花金龟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有趣的金龟子—中华彩丽金龟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有趣的金龟子—苹绿唇花金龟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有趣的蜘蛛—曹氏棘腹蛛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有趣的蜘蛛—梭德氏棘蛛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有趣的蜘蛛—狼毒</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有趣的蜘蛛—横纹金蛛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有趣的蜘蛛—里氏盘腹蛛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有趣的蜘蛛—斑络新妇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有趣的蜘蛛—拟水狼蛛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有趣的蜘蛛—虎纹捕鸟蛛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有趣的甲虫—虎纹蛛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有趣的甲虫—鬼艳锹甲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有趣的甲虫—锹甲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有趣的甲虫—麻步甲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有趣的甲虫—褐带凹缘跳甲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有趣的甲虫—竹象甲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有趣的甲虫—虎甲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植物种子标本—黑小麦</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植物种子标本—大麦</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植物种子标本—香菜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植物种子标本—茴香</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植物种子标本—葡萄</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植物种子标本—橘子</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植物种子标本—萝卜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植物种子标本—茼蒿</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植物种子标本—茉莉</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植物种子标本—牵牛花</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植物种子标本—绿豆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植物种子标本—红豆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植物种子标本—红刺玫</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植物种子标本—石榴</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植物种子标本—空心菜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植物种子标本—茄子</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植物种子标本—波斯菊</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植物种子标本—红高粱</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植物种子标本—油菜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植物种子标本—辣椒</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植物种子标本—水稻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植物种子标本—玉米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植物种子标本—栾树</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植物种子标本—剑麻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植物种子标本—山楂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植物种子标本—无花果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植物种子标本—向日葵</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植物种子标本—满天星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植物种子标本—南瓜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植物种子标本—番茄</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探索古生物奥秘—古生物牙齿化石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#1.包含多纹齿鼠鲨、乌鸦鲨、鼠鲨牙三种原生态化石，自然形态，产品由197*145*30mm专用木质标本展示盒制作，透明部分为高透浮法玻璃。标本盒内需有挡板及卡纸固定以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探索古生物奥秘—玉化螺化石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探索古生物奥秘—三叶角化石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探索古生物奥秘—斑彩螺化石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探索古生物奥秘—三叶虫尾化石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探索古生物奥秘—巴普洛夫菊石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探索古生物奥秘—震旦角直角石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中学常规标本</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left"/>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标本长度≥150mm鲫鱼或鲤鱼，标本右侧展示外形，做出切开展示内部器官和血管，技术要求应符合JY144-1982。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#1.标本浸泡液体采用透明度高、无味、无害的新型液体浸制制作。液体用透明度高、无毒、无味、无害的新型液体，长期使用不变色，不腐烂。执行JY145标准。</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液体用透明度高、无毒、无味、无害的新型液体，长期使用不变色，不腐烂。执行JY145标准。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液体用透明度高、无毒、无味、无害的新型液体，长期使用不变色，不腐烂，执行JY146标准。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#1.标本浸泡液体采用透明度高、无味、无害的新型液体浸制制作。兔沿腹中线切开，展示内部结构、器官和血管，技术要求应符合JY147-82 。生产厂家品牌需经商标注册，并持有品牌商标注册证书。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#1.标本浸泡液体采用透明度高、无味、无害的新型液体浸制制作。液体用透明度高、无毒、无味、无害的新型液体，长期使用不变色，不腐烂， 执行JY148标准。生产厂家品牌需经商标注册，并持有品牌商标注册证书。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选用雌虫体长不小于200～350㎜，雄虫体长不小于150～250㎜的成虫制成，雌雄合装于一个容器中。虫体应呈乳白色或微带红色，雌虫尾部尖直，雄虫尾部向腹面卷曲，雌雄均为前端开口，身体表面有角质层。浸制标本容器、保护液应符合JY0001-2003中10.2～10.5的规定。标本保护液应基本注满容器，封口要严密牢固，绑缚在衬板上的虫体应呈丝状，牢固、不窜动。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#1.标本浸泡液体采用透明度高、无味、无害的新型液体浸制制作。不少于七种。</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#1.标本浸泡液体采用透明度高、无味、无害的新型液体浸制制作。十字花科，豆科，菊科等七种。</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海带等四种，大小适当，边缘整齐。标本采取保色处理工艺，透明树脂覆盖工艺制成，标本平整、严密、无空隙、无气泡。植物体形态自然，构造完美，色泽正常 ，发育良好。</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#1.标本浸泡液体采用透明度高、无味、无害的新型液体浸制制作。紫菜等四种，标本采取保色处理工艺，透明树脂覆盖工艺制成，标本平整、严密、无空隙、无气泡。植物体形态自然，构造完美，色泽正常 ，发育良好。生产厂家品牌需经商标注册，并持有品牌商标注册证书。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#1.标本用营固着生活、体高不小于25mm（从口盘到基盘的垂直距离，不包括触手）的个体制作；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#2.标本以体筒的任一面向衬板或以基盘固着于瓶底，口向上，示口、口盘、触手、体筒和基盘;</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#1.标本用伞部直径不小于50mm的海蛰制作；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#2.标本浮于容器内，示海蛰的伞部、腕部和附属器等；</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8.5×13.5cm；标本寄居蟹螺壳直径不小于5cm；浸制保存。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8.5×13.5cm；标本寄居蟹螺壳直径不小于5cm，共生的海葵直径不小于1cm；浸制保存。生产厂家品牌需经商标注册.</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4×19cm；标本上不少于2个病灶，浸制保存。</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13×3.5×18.5cm；标本由3种组成；保色浸制保存。</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#1.产品用葫芦藓（Funaria Hygrometrica）制作，示藓类植物的不同世代； </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#1.产品用东亚飞蝗或亚洲飞蝗制作，示昆虫的不完全变态；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#2.标本由卵、一至五龄的跳蝻、雄性成虫、雌性成虫和被害物组成；卵和虫体浸制，分装于小容器内，虫体以腹面向下定位；按生活史顺序排列；</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#1.产品用意蜂或中蜂制作，示昆虫的完全变态，社会性昆虫不同类型的个体和其经济意义；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#2.产品由卵、中（或老）熟幼虫、蛹、工蜂、雄蜂和母蜂（蜂王）组成，附巢础、蜂巢（包括一个母蜂房）、蜂蜡和蜂蜜；按生活史顺序排列；</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#1.标本以选用竹节虫目中除叶科以外的种类制作，示保护色和拟竹叶状、虫体应不小于70mm；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#2.标本由一个竹节虫和一植株组成，虫体腹面向下，定位于植株上；</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#1.由卵、幼虫（四龄）、蛹、雌雄成虫及茧组成；按生活史顺序排列；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#2.蚕体洁净，示气门、胸足三对、腹足四对，尾足一对及尾角；</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#1.标本显示中轴骨骼的头骨、舌器骨、七块颈椎、十三块胸椎、七块腰椎、荐椎、十五至十八块尾椎、十三对肋骨和六块胸骨；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#2.标本显示附肢骨骼的肩胛骨、锁骨、肱骨、尺骨、桡骨、腕骨九块、掌骨五块、指骨五个、骨盆、股骨、膝盖骨、胫骨、腓骨、跗骨六块、骨四块、趾骨四个。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#1.标本由鳍条完整，骨骼形态正常的鲫鱼或鲤鱼制作，体长前者不小于220mm，后者不小于290mm；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#2.标本左侧的鳃盖骨和下鳃盖骨卸下，示头部的舌弓、鳃弓、肩带与头骨之连接方式和围耳骨等形态结构，另附尾椎一条；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本以自然形态安装定位，从左右两面显示中轴骨骼的头骨（包括颅骨和咽骨）、脊柱、肋骨；附肢骨骼的肩带和胸鳍骨、腰带和腹鳍的鳍条、背鳍骨、臀髓骨和尾鳍骨（包括七块尾上骨、五块尾下骨和鳍条）；</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#1.标本盒由有机玻璃底座及透明有机玻璃罩组成，由螺丝固定连接而成，尺寸不小于13×9×9cm，蟾蜍体长为不小于8cm的成体；干制。生产厂家品牌需经商标注册，并持有品牌商标注册证书。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#1.标本由成熟家鸽制作；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#2.标本以站立的自然态固装在底座上，多附颈椎一块；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#3.标本显示中轴骨骼的头骨、舌器骨、13～14块颈椎、5～6块胸椎、愈合荐椎（综荐骨）、6块尾椎、尾综骨、5对胸椎的肋骨（每条肋骨各包括椎肋和胸肋）胸骨和龙骨突出；</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选用父代穗、母代穗、子一代穗、子二代穗及子二代测交穗5块玉米穗.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#1.海带等四种，每种植物需注明其详细产地。A4制作。生产厂家品牌需经商标注册，并持有品牌商标注册证书。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#1.紫菜等四种，海带等四种，每种植物需注明其详细产地。A4制作。生产厂家品牌需经商标注册，并持有品牌商标注册证书。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珊瑚制作而成。标本盒上盖采用透明浮法玻璃制作，下盖由环保厚卡纸加工制作而成，标本盒尺寸不小于21.7*17.1*3.2cm，上下盖可以打开，便于学生更直观的观察，不易破损，接合紧密。标本应固定牢固，不易脱落。生产厂家品牌需经商标注册标本盒上盖采用透明浮法玻璃制作，下盖由环保厚卡纸加工制作而成，标本盒尺寸不小于21.7*17.1*3.2cm，上下盖可以打开，便于学生更直观的观察，不易破损，接合紧密。标本应固定牢固，不易脱落。</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常见8种昆虫组成。其中有益：蚂蚁、虎头蜂、家蚕额、土元；有害：长蝽、金龟子、硕蝽、暗黑鰓金龟子。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苔藓类植物标本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#1.有机树脂包埋产品，140*64*18mm。</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蕨类植物标本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#1.有机树脂包埋产品，164*78*20，4个。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裸子植物标本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#1.有机树脂包埋产品，140*64*18，4个。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被子植物标本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#1.有机树脂包埋产品，140*64*24，4个。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#1.标本应取于人工培养的玉米根或蚕豆，取材部位为根冠至根毛区。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#2.切片厚度在8μm以内，每张玻片垂直放置材料1～2片。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#3.细胞核着色明显、胞质着色均匀，可见核仁、胞质。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#4.标本应在80×和200×学生显微镜下清楚观察到根尖结构，看清根冠、分生区、伸长区、根毛区和原形成层等。  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#1.标本应取于人工培养的玉米根或蚕豆，取材部位为根冠至根毛区。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#2.切片厚度在8μm以内，每张玻片垂直放置材料1～2片。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#3.细胞核着色明显、胞质着色均匀，可见核仁、胞质。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#4.标本应在80×和200×学生显微镜下清楚观察到根尖结构，看清根冠、分生区、伸长区、根毛区和原形成层等。  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#1.取材为田间种植的南瓜茎，注意老幼适中。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#2.纵切片厚度在15μm～25μm以内。纵切材料两端整齐，长度不少于5㎜，表皮细胞应完整，木质部的导管应连续。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#3.纵断面上能看清皮层、机械组织、薄壁组织、双韧维管束和髓腔。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#4.标本应在80×和200×学生显微镜下清楚观察到南瓜茎横断面的结构。切片装于全新塑料一次性注塑而成的优质乳白色切片盒中。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#1.产品是单子叶植物茎纵、横切面的模型，为横切面的1/10（去掉中央部分），高不小于12cm，长约40cm，跨径约40cm。切片装于全新塑料一次性注塑而成的优质乳白色切片盒中。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在80×和200×学生显微镜下,观察双子叶植物茎横断面的结构。能看清表皮（有时可看到表皮毛）厚角组织、薄壁组织、髓及环列于茎中的维管束等。能切片装于全新塑料一次性注塑而成的优质乳白色切片盒中。看清维管束为外韧型，分别认出韧皮纤维、筛板、筛管、形成层和木质导管等横断结构。取材于人工培养的向日葵幼茎。切片厚度在25um以内。</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#1.取材为三年生椴木的枝条，秋末取材。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#2.切片厚度在15μm以内。各组织无破裂，表皮脱落应不超过1/4。#3.显示横断面上木质部的年轮、皮层、木栓层、厚角组织、皮层韧皮部、形成层、木质部、髓部、髓射线等，显示基的支持和运输功能。</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#4.标本应在80×和200×学生显微镜下清楚观察木本双子叶植物茎横断面的结构。切片装于全新塑料一次性注塑而成的优质乳白色切片盒中。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#1.取材为新鲜的气孔开放的蚕豆叶。材料整洁，不附带叶肉等其他组织，保卫细胞不收缩。 平铺装片，每片材料不小于2×2mm，四周剪切整齐。切片装于全新塑料一次性注塑而成的优质乳白色切片盒中。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#1.切片厚度为5μm，每张玻片垂直放材料1～3片。 根尖应完整无破损现象，细胞间可有轻微裂隙。 标本单一染色，胞核、核仁、染色体应着色明显，胞质色淡。切片装于全新塑料一次性注塑而成的优质乳白色切片盒中。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#1.能看清表皮、厚壁组织、内陷的气孔、树脂道、内皮层、维管束、薄壁组织和叶肉组织等。切片装于全新塑料一次性注塑而成的优质乳白色切片盒中。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#1.切片厚芳在20μm。材料面积不小于1.5mm2，细胞不倾斜。切片装于全新塑料一次性注塑而成的优质乳白色切片盒中。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#1.应示紧密交织的菌丝组成的上皮层和下皮层，有疏松菌丝及藻类细胞组成的髓层、藻胸层。切片装于全新塑料一次性注塑而成的优质乳白色切片盒中。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#1.显示叶横断面的上、下表皮，栅栏组织，海绵组织及维管束等结构。切片装于全新塑料一次性注塑而成的优质乳白色切片盒中。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#1.原叶体上应显示精子器或颈卵器（也可兼有）和假根。切片装于全新塑料一次性注塑而成的优质乳白色切片盒中。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#1.原叶体上有根、茎和早出的第一叶。切片装于全新塑料一次性注塑而成的优质乳白色切片盒中。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芥菜幼胚切片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芥菜老胚切片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#1.取材为木樨科迎春花的叶片。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#2.切片厚度在15μm 以内，每张玻片应放材料不少于二片。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#3.取材用番红、固绿染色，使表皮、叶脉呈红色，其他绿色。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在80×和200×镜下可清楚观察叶子的内部结构、排列紧密的叶表皮，表皮细胞外壁有一层不易透水的角质层。表皮下有保卫细胞组成的气孔。叶肉由栅栏组织和海绵组织构成，细胞内含有较多的叶绿体。束状结构的叶脉包括两种管道：导管、筛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#5.玻片应完整，无污染，各组织间无裂隙。切片装于全新塑料一次性注塑而成的优质乳白色切片盒中。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#1.取材为新鲜的洋葱鳞片叶的表皮，每片取材不小于2×2㎜，四周剪切整齐。切片装于全新塑料一次性注塑而成的优质乳白色切片盒中。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草本植物茎横切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洋葱表皮装片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新鲜的洋葱鳞片叶的表皮，每片取材不小于2×2㎜，四周剪切整齐。取材平铺装片，不带表皮下的组织，可轻度染色。在80×和200×显微镜下可清楚观察到排列整齐的许多小长方体（小格），同时可观察到细胞壁、细胞膜、细胞质及数个液泡。应符合JY67-82《生物玻片标本通用技术条件（试行）》的规定。  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叶片横切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叶片气孔装片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#1.取材为人工培养的典型青霉。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#2.视菌株培养情况做装片或切片，切片方向平行于分生孢子梗，厚度根据菌株培养情况决定。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#3.显示营养菌丝及其上的分生孢子梗和顶端的帚状枝。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#4.能在200×学生显微镜下清楚观察青霉的形态，在400×学生显微镜下清楚观察帚状枝的梗基和小梗上呈链状的分生孢子。切片装于全新塑料一次性注塑而成的优质乳白色切片盒中。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#1.取材于人工培养的球菌、杆菌、螺旋菌。球菌可用单球菌、双球菌或葡萄球菌；杆菌可用枯草杆菌、大肠杆菌或炭疽杆菌；螺旋菌可用具有一个弯以上的任一种螺旋菌。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#2.做三种细菌的混合涂片，所用玻片应经洗液清洗。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#3.选用能显示菌体的染色方法，不得出现任何沉淀物。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#4.在500×生物显微镜下清楚观察细菌的三种基本形态。切片装于全新塑料一次性注塑而成的优质乳白色切片盒中。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水绵结合生殖装片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动物细胞有丝分裂切片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草履虫结合生殖装片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动物表皮细胞装片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蛙卵细胞切片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纤维结缔组织装片（腱纵切）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骨细胞切片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口腔粘膜细胞装片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人血细胞装片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903"/>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5185" w:type="pct"/>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65"/>
        <w:gridCol w:w="6614"/>
        <w:gridCol w:w="735"/>
        <w:gridCol w:w="659"/>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AB-历史地理教室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#1.天线类型：内置天线；CPU参数：双核心、四线程、≥2.2GHZ、三级缓存4MB；RAM：≥8GB；</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#2.内置硬盘：128GB，可扩展到2TB，支持截屏图片</w:t>
            </w:r>
            <w:r>
              <w:rPr>
                <w:rFonts w:hint="eastAsia" w:ascii="宋体" w:hAnsi="宋体" w:eastAsia="宋体" w:cs="宋体"/>
                <w:i w:val="0"/>
                <w:iCs w:val="0"/>
                <w:color w:val="000000"/>
                <w:sz w:val="21"/>
                <w:szCs w:val="21"/>
                <w:u w:val="none"/>
                <w:lang w:val="en-US" w:eastAsia="zh-CN" w:bidi="ar"/>
              </w:rPr>
              <w:t xml:space="preserve">、录制视频的存储与调用；按键：电源键 *1，录制键 *1；HDMI接口：具备≥2个HDMI输入接口，支持电脑、摄像头、实物展台等外部设备的有线接入；具备≥2个HDMI输出接口，支持输出到2个不同的大屏端；影音接口：LineIn*1，支持麦克风的连接；LineOut*1，支持音箱的连接；USB接口：具备≥3个USB接口，支持U盘、鼠标、键盘、摄像头的接入；内置无线AP：内置无线AP模块，WiFi支持：IEEE 802.11 a/b/g/n/ac；工作频段：2.4GHz和5GHz；最大无线速率≥1.3Gbps；</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网络接口：具备≥3个10/100/1000Mbps以太网RJ45数据接口，支持WAN口外接网线接入互联网，或LAN口外接网线输出网络数据；网络工作模式：支持无线路由器、无线交换和网络终端三种模式；HDMI输出适配：支持多种显示分辨率，可自动适配外接的大屏端分辨率，最高支持3840*2160分辨率；</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#4.支持定时重启功能，能够在每天自定义时间进行设备重启，投屏传输距离大于100米。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738"/>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#1.多语言切换：系统支持多种语言模式的快速切换，满足外教教学的要求；</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屏幕工具条：用户可直接在触控显示屏上触控点击系统工具条，或通过鼠标点击工具条进行操作，工具条具有截屏、录制、广播、布局、切屏、批注、白板、互动等功能按钮，并显示时间、设备名称、网络IP等信息。</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软件遥控器：教学互动终端无需硬件遥控器或USB切换器，用户只需扫码下载遥控器APP即可将移动终端作为控制端，软件控制端支持截屏、录制、广播、布局、批注、白板、互动等功能按钮，支持Windows、Android、iOS系统设备安装控制端软件。</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#4.全屏缩放：支持在遥控器APP端或触控显示屏端对显示画面进行缩小、放大操作，能够对单屏或多屏画面进行放大。</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#5.国产化支持：支持国产麒麟、统信操作系统和国产CPU环境下，用纯软件实现≥10个国产电脑同时接入教学互动终端，≥10个画面同时显示。</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实验展播：支持通过网络把网络摄像机信号接入，在教学互动终端上直接读取显示。可以通过APP遥控器或屏幕工具栏对摄像机预置≥20个机位，使用时可以对摄像机快速切换机位，支持调整摄像机转动速度的快慢。</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文件读取：系统支持查看U盘、云盘、内置硬盘和遥控器APP上传的本地文件和云空间下载文件，支持将外接U盘中的图片、视频、音频、文档等文件资料直接上屏展示；支持通过截屏和录制将存储在图库（U盘、云盘、内置硬盘）中的图片、视频直接上屏展示。</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设备和文件分类：系统自动对设备（有线接入设备、无线投屏设备）、文件（U盘、云盘、内置硬盘、遥控器APP上传的本地文件和云空间下载文件）、分组（分组端教学互动终端）、网络摄像机、手写板等设备进行分类；支持对已连接的设备进行置顶、重命名、移动至分组、移除等操作。</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#9.多种画面布局显示：支持≥10个投屏设备同时接入教学互动终端，≥10个画面同时显示，且支持Auto（自适应）画面。</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#10.一键截屏：支持一键截取当前屏幕的显示画面。</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微课录制：支持多种方式开启微课录制，如教学互动终端的“录制”按键、屏幕工具条的“录制”按钮和遥控器APP中的“录制”按钮；支持屏幕多画面和外接麦克风声音同步录入，提供720P和1080P视频显示格式可选，录制的视频可保存在外接U盘、云盘或内置硬盘中，支持存储空间不足时的文字提醒功能；录制结果为一个标准MP4格式的视频，录制过程中可随时暂停、停止。</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#12.白板批注：系统提供画笔、激光笔、宽度、板擦、清空、撤销、重做、聚焦、随写板等工具，支持普通画笔书写、荧光画笔书写和激光笔定位。</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#13.App应用：支持第三方应用程序嵌入式安装在教学互动终端，无需借助教师平板可直接开启师生互动软件，完成课堂教学互动过程。</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反向控制：支持在触控显示屏上对HDMI有线接入的Windows电脑进行反向控制操作，支持无线投屏的部分Android、Windows设备进行反向控制操作，具有选择开启或关闭功能按钮，同时还支持在显示终端大屏触摸或通过教学互动终端外接鼠标以及遥控器软件进行反向控制。</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#15.双屏显示：支持1个教学互动终端外接2个显示屏，显示模式包含镜像模式、扩展模式两种显示效果。</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#16.课程录播：支持添加追踪摄像机并对摄像机镜头和焦距进行控制，实现对教师、学生、板书的自动跟踪拍摄和切换。支持常态录播模式、电影模式、手动导播模式。</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#1.音频处理部分和功率放大器集成到一个机箱内；具有≥4路48V幻象供电麦克风输入； 具有≥4路平衡式线性输入，采用凤凰端子，可接低延时无线麦克风输入（任何频段），无线麦克风和有线麦克风支持闪避设置；具有≥6路平衡式线性输出，采用凤凰端子；</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预留1路两通道USB音频接口，可传输AEC-REF、AEC-OUT数据，可整合到电脑作为声卡，无缝对接在线教学平台及软会议平台音频系统；2路（左右声道）功放输出，每通道支持2路并联，每路最大100W；物理面板具有便于远程调试、升级的配对按键；支持远程控制和音频监听、对讲功能。</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#1.传感器类型：电容式；指向性：心型；频响：50Hz~16kHz；灵敏度：-47dB±3dB(0dB=1V/Pa@1kHz)；输出阻抗：2.2kΩ（@1kHz）；输出连接器/线缆：标准XLR-3公型/双绞屏蔽MIC电缆。</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#1.传感器类型：Φ24背极式驻极体电容极头；电路特征：JFET阻抗变换；电子平衡；指向性：360度全向拾音，拾音半径可达8米；频响：50Hz-20kHz；灵敏度：-44±3dB (0dB=1V/Pa@1kHz)。</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#1.系统类型：单6.5"专业全频音箱；阻抗：8Ω；频响： 50Hz-18kHz；额定功率： ≥40W；承受功率：≥100W。</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#1.支持4K超高清分辨率图像，最大可提供4K@30fps/25fps图像编码输出，同时向下兼容1080p，720p等分辨率；传感器要求：传感器尺寸≥1/2.8英寸, 有效像素≥800万；</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#2.内置领先图像识别与跟踪算法，无其他辅助的情况下，即可实现平滑自然的EPTZ跟踪效果；能为教师跟踪设置精准灵活的跟踪模型；镜头焦距：8±0.3mm；</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#3.摄像机可同时输出≥4路码流的图像，支持全景画面和特写画面同时输出，且至少一路视频支持自动导切视频输出，全景画面和特写画面分辨率同时支持1920x1080@25fps以上；具备畸变矫正功能。</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#1.视频分辨率：1080P60，1080P50，1080P30，1080P25，720P60，720P50；200万有效像素高品质HD CMOS传感器；镜头：12x, f3.5mm~42.3mm, F1.8~F2.8；数字变焦：16x；数字降噪：可同时应用2D和3D降噪算法；</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#2.图像信噪比：≥55dB；视场角：水平72.5°~6.9°，垂直44.8°~3.9°；转动范围：水平±170°，垂直-30°~+90°。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-533400</wp:posOffset>
                      </wp:positionH>
                      <wp:positionV relativeFrom="paragraph">
                        <wp:posOffset>567055</wp:posOffset>
                      </wp:positionV>
                      <wp:extent cx="752475" cy="361950"/>
                      <wp:effectExtent l="0" t="0" r="0" b="0"/>
                      <wp:wrapNone/>
                      <wp:docPr id="162" name="Picture_78_SpCnt_1"/>
                      <wp:cNvGraphicFramePr/>
                      <a:graphic xmlns:a="http://schemas.openxmlformats.org/drawingml/2006/main">
                        <a:graphicData uri="http://schemas.openxmlformats.org/drawingml/2006/picture">
                          <pic:pic xmlns:pic="http://schemas.openxmlformats.org/drawingml/2006/picture">
                            <pic:nvPicPr>
                              <pic:cNvPr id="162" name="Picture_78_SpCnt_1"/>
                              <pic:cNvPicPr/>
                              <pic:nvPr/>
                            </pic:nvPicPr>
                            <pic:blipFill>
                              <a:blip r:embed="rId14"/>
                              <a:stretch/>
                            </pic:blipFill>
                            <pic:spPr bwMode="auto">
                              <a:xfrm>
                                <a:off x="0" y="0"/>
                                <a:ext cx="752475"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23104;o:allowoverlap:true;o:allowincell:true;mso-position-horizontal-relative:text;margin-left:-42.0pt;mso-position-horizontal:absolute;mso-position-vertical-relative:text;margin-top:44.6pt;mso-position-vertical:absolute;width:59.2pt;height:28.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1"/>
                <w:szCs w:val="21"/>
                <w:u w:val="none"/>
                <w:lang w:val="en-US" w:eastAsia="zh-CN" w:bidi="ar"/>
              </w:rPr>
              <w:t xml:space="preserve">AB1-09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#1.屏幕物理尺寸≥55吋；屏幕分辨率≥3840*2160；屏幕刷新率≥60Hz；屏幕可视角度≥±176度；</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#2.整机功耗≤120W。</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殷墟甲骨文模型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#1.盒装，规格：260×230×40mm,一甲一骨，高度仿真制作。</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司母戊鼎</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#1.规格:160×115×195mm，材质：合金，高仿。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352425</wp:posOffset>
                      </wp:positionH>
                      <wp:positionV relativeFrom="paragraph">
                        <wp:posOffset>0</wp:posOffset>
                      </wp:positionV>
                      <wp:extent cx="733425" cy="219075"/>
                      <wp:effectExtent l="0" t="0" r="0" b="0"/>
                      <wp:wrapNone/>
                      <wp:docPr id="163" name="Picture_78_SpCnt_2"/>
                      <wp:cNvGraphicFramePr/>
                      <a:graphic xmlns:a="http://schemas.openxmlformats.org/drawingml/2006/main">
                        <a:graphicData uri="http://schemas.openxmlformats.org/drawingml/2006/picture">
                          <pic:pic xmlns:pic="http://schemas.openxmlformats.org/drawingml/2006/picture">
                            <pic:nvPicPr>
                              <pic:cNvPr id="163" name="Picture_78_SpCnt_2"/>
                              <pic:cNvPicPr/>
                              <pic:nvPr/>
                            </pic:nvPicPr>
                            <pic:blipFill>
                              <a:blip r:embed="rId15"/>
                              <a:stretch/>
                            </pic:blipFill>
                            <pic:spPr bwMode="auto">
                              <a:xfrm>
                                <a:off x="0" y="0"/>
                                <a:ext cx="733424" cy="2190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23104;o:allowoverlap:true;o:allowincell:true;mso-position-horizontal-relative:text;margin-left:27.8pt;mso-position-horizontal:absolute;mso-position-vertical-relative:text;margin-top:0.0pt;mso-position-vertical:absolute;width:57.8pt;height:17.2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筒车</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#1.规格：445×185×370mm，材质：木质 。</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司南模型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#1.规格：220×220×50mm，材质：铜、木框。</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曲辕犁</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#1.规格：600×380×95mm, 材质：木质。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兵马俑</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#1.规格：高280mm，材质：陶瓷,一匹马四个兵俑。</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三轮汽车模型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#1.规格:230×170×150mm，奔驰牌。</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蒸汽机模型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#1.规格:150×85×90mm，材料用铝的，底板是黑色的有机板。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北京人头像</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#1.规格：290×260×410mm，材质：高分子材料。</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木活字</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#1.规格：280×160×25mm，材质：木质。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世界十大思想家挂画</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#1.根据美国《世界名人辞典》和英国《人民年鉴手册》的权威评选，世界十大思想家为：1孔子、2柏拉图、3亚里士多德、4阿奎那、5哥白尼、6培根、7牛顿、8达尔文、9伏尔泰、10康德。适当配一些文字介绍。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#2.规格：60*90CM。材质：KT板。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一张世界大地图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在地图中：①标注出“一带一路”；②标注出美国在全球的主要军事基地：③标注出世界主要航道（如巴拿马运河、苏伊士运河、巴士海峡、马六甲海峡等）④标注出三大岛链。侧边可以加：①北约有哪些国家？②战略家何新的《美国解决世界问题的时间表》内容简介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#2.规格：根据现场定制。材质：KT板。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中华民族伟大复兴历程简介图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#1.醒过来（孙中山）、站起来（毛泽东）、富起来（邓小平）、强起来（习近平）。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#2.规格：60*90CM。材质：KT板。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3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数字化地理互动系统/数字化历史虚拟地图软件</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#1.软件控制平台具有选择课程功能：可根据教材及教学需要选择对应的课程资源，软</w:t>
            </w:r>
            <w:r>
              <w:rPr>
                <w:rFonts w:hint="eastAsia" w:ascii="宋体" w:hAnsi="宋体" w:eastAsia="宋体" w:cs="宋体"/>
                <w:i w:val="0"/>
                <w:iCs w:val="0"/>
                <w:color w:val="000000"/>
                <w:sz w:val="21"/>
                <w:szCs w:val="21"/>
                <w:u w:val="none"/>
                <w:lang w:val="en-US" w:eastAsia="zh-CN" w:bidi="ar"/>
              </w:rPr>
              <w:t xml:space="preserve">件平台具有开始上课、备课、自建教案、清理资源、工具栏等多种操控功能，平台操作控制开始上课：选择好课程后点击“开始上课”，系统会按系统配置的方式展现资源界面，备课：可选择科目和课程，对图片、PPT、音频、视频、题目进行导入素材和删除素材操作，自建教案：在教学模式中选择教案模式，可在备课中添加老师自己的对应资源，并可选择类目、科目进行保存配置、删除素材、添加阶段操作；素材库可选择类目、科目，对需要的图片、网页、PPT、音视频、题库、叠加地图进行双击作为对应阶段的演示资源，清理资源可对所有备课资源和教案进行清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配置：资源盘：用户可自定义保存目录；教学模式：可选择资源模式或教案模式；PPT版本：让用户可选择匹配的分辨率1920*1080或1024*768；显示设置：具有单屏、超宽屏、双屏可选，让用户可选择匹配的硬件选项；左屏：默认PPT、题目、叠加地图资源，可根据需要更换到右屏；右屏：默认HTML、图片、备课题目、音频、视频资源，可根据需要更换到左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具栏：具有可选择需要演示的课程对应资源及关闭返回主界面，支持对地图内容自定义设置热点，对该热点可自主添加图片、视频、音频等内容。支持增加、删减热点。图片和视频可以实现放大缩小，可根据多媒体终端设备选择2.5D或者3D资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二维、2.5D或3D资源初中地理课程资源：地球和地图：地球和地球仪、地球的运动、地图的阅读、地形图的判读；陆地和海洋：大洲和大洋、海陆的变迁；天气与气候：多变的天气、气温的变化与分布、降水的变化与分布、世界的气候；居民与聚落：人口与人种、世界的语言和宗教、人类的聚居地——聚落；发展与合作；我们生活的大洲——亚洲：位置和范围、自然环境；我们邻近的地区和国家：日本、东南亚、印度、俄罗斯；东半球其他的地区和国家：中东、欧洲西部、撒哈拉以南非洲、澳大利亚；西半球的国家：美国、巴西；极地地区；从世界看中国</w:t>
            </w:r>
            <w:r>
              <w:rPr>
                <w:rFonts w:hint="eastAsia" w:ascii="宋体" w:hAnsi="宋体" w:eastAsia="宋体" w:cs="宋体"/>
                <w:i w:val="0"/>
                <w:iCs w:val="0"/>
                <w:color w:val="000000"/>
                <w:sz w:val="21"/>
                <w:szCs w:val="21"/>
                <w:u w:val="none"/>
                <w:lang w:val="en-US" w:eastAsia="zh-CN" w:bidi="ar"/>
              </w:rPr>
              <w:t xml:space="preserve">：疆域、人口、民族；中国的自然环境：地形和地势、气候、河流、自然灾害；中国的自然资源：自然资源的基本特征、土地资源、水资源；中国的经济发展：交通运输、农业、工业；中国的地理差异；北方地区：自然特征与农业、“白山黑水”——东北三省、世界最大的黄土堆积区——黄土高原、祖国的首都——北京；南方地区：自然特征与农业、“鱼米之乡”——长江三角洲地区、“东方明珠”——香港和澳门、祖国的神圣领土——台湾省；西北地区：自然特征与农业、干旱的宝地——塔里木盆地；青藏地区：自然特征与农业、高原湿地——三江源地区；中国在世界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#5.立体2.5D或3D课程资源：符合课程标准并具有开放性，</w:t>
            </w:r>
            <w:r>
              <w:rPr>
                <w:rFonts w:hint="eastAsia" w:ascii="宋体" w:hAnsi="宋体" w:eastAsia="宋体" w:cs="宋体"/>
                <w:i w:val="0"/>
                <w:iCs w:val="0"/>
                <w:color w:val="000000"/>
                <w:sz w:val="21"/>
                <w:szCs w:val="21"/>
                <w:u w:val="none"/>
                <w:lang w:val="en-US" w:eastAsia="zh-CN" w:bidi="ar"/>
              </w:rPr>
              <w:t xml:space="preserve">教师能够根据自己的教学需要对课程资源进行二次开发，同时可以进行旋转、缩小、放大演示，并支持多屏联动。资源包括：本初子午线、地球大小、地球上的云、东西半球划分、经度、经线、麦哲伦航海、南北半球划分、纬度、纬线、找城市、找城市闪动、找飞机位置、找飞机位置循环、地球运动（ABCD、abc点、ab两点、奥运时间、北京时间、晨昏线、晨线、地方时、五带的分布、周日视运动、昼夜变化）、高原、海底地形、海深200米、海深300米、海深2000米、海深4000米、海深6000米、陆地高0米、陆地高200米、陆地高500米、陆</w:t>
            </w:r>
            <w:r>
              <w:rPr>
                <w:rFonts w:hint="eastAsia" w:ascii="宋体" w:hAnsi="宋体" w:eastAsia="宋体" w:cs="宋体"/>
                <w:i w:val="0"/>
                <w:iCs w:val="0"/>
                <w:color w:val="000000"/>
                <w:sz w:val="21"/>
                <w:szCs w:val="21"/>
                <w:u w:val="none"/>
                <w:lang w:val="en-US" w:eastAsia="zh-CN" w:bidi="ar"/>
              </w:rPr>
              <w:t xml:space="preserve">地高2000米、陆地高4000米、盆地、平原、山脉、世界地形图、北非、北美洲、北亚、大洋洲、大洋洲2、东南亚、东亚、非洲、非洲地区、海盆、拉丁美洲、南非、南极洲、南美洲、南亚、欧洲、撒哈拉沙漠以南的非洲、西欧、西亚、亚洲、中亚、板块1、板块2、板块3、地球岩石圈板块示意、地震、东非大裂谷、海沟、海岭、海陆分布、火山、裂谷形成、秘鲁—智利海沟、日本海沟、喜马拉雅山、变化的云、锋、准静止锋、世界1月平均气温、世界7月平均气温、自然温度变化、世界年降水量、季风活动、季节的变化、沙漠、世界气候分布图、转暖、1950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2010年各大洲和地区人口数量的增长、世界人口、世界人口增长率、世界三</w:t>
            </w:r>
            <w:r>
              <w:rPr>
                <w:rFonts w:hint="eastAsia" w:ascii="宋体" w:hAnsi="宋体" w:cs="宋体"/>
                <w:i w:val="0"/>
                <w:iCs w:val="0"/>
                <w:color w:val="000000"/>
                <w:sz w:val="21"/>
                <w:szCs w:val="21"/>
                <w:u w:val="none"/>
                <w:lang w:val="en-US" w:eastAsia="zh-CN" w:bidi="ar"/>
              </w:rPr>
              <w:t xml:space="preserve">大人</w:t>
            </w:r>
            <w:r>
              <w:rPr>
                <w:rFonts w:hint="eastAsia" w:ascii="宋体" w:hAnsi="宋体" w:eastAsia="宋体" w:cs="宋体"/>
                <w:i w:val="0"/>
                <w:iCs w:val="0"/>
                <w:color w:val="000000"/>
                <w:sz w:val="21"/>
                <w:szCs w:val="21"/>
                <w:u w:val="none"/>
                <w:lang w:val="en-US" w:eastAsia="zh-CN" w:bidi="ar"/>
              </w:rPr>
              <w:t xml:space="preserve">种分布、世界主要语言分布、世界主要宗教分布、文化遗产、发达和发展中国家分布1、发达和发展中国家分布2、世界农业生产率、世界缺粮国家、世界主要经济合作组织、世贸组织、北亚、东南亚、东亚、南亚、西亚、亚洲、中亚、亚洲、亚洲气候、日本贸易振兴会、日本主要工业原材料来源、日本主要工业原材料输出、东南亚、南亚、波斯湾石油</w:t>
            </w:r>
            <w:r>
              <w:rPr>
                <w:rFonts w:hint="eastAsia" w:ascii="宋体" w:hAnsi="宋体" w:eastAsia="宋体" w:cs="宋体"/>
                <w:i w:val="0"/>
                <w:iCs w:val="0"/>
                <w:color w:val="000000"/>
                <w:sz w:val="21"/>
                <w:szCs w:val="21"/>
                <w:u w:val="none"/>
                <w:lang w:val="en-US" w:eastAsia="zh-CN" w:bidi="ar"/>
              </w:rPr>
              <w:t xml:space="preserve">外运航线、西亚、西欧、非洲埃塞俄比亚高原、非洲地中海气候、非洲东非高原、非洲刚果盆地、非洲高山气候、非洲黑人居住分布、非洲南非高原、非洲热带沙漠气候区、非洲热带疏林草原气候、非洲热带雨林气候区、撒哈拉沙漠以南的非洲、澳大利亚、动物、南极洲、大气环流、海陆分布、暖流寒流、气压带的分布、气压带风带的分布、热带草原气候、热带季风气候、热带沙漠、热带沙漠气候、热带雨林、温带海洋性气候、五带、五带的分布、海平面上升、火山活动、温度反常、印度洋海啸、世界的农业地域类型、世界河流补给类型、季风水田、世界商品谷物农业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初中历史课程资源：不少于200多幅地图，1000多个动画，每幅地图具有国家测绘地理信息局地图审核批准书。中国境内早期人类与文明的起源：中国境内早期人类的代表——北京人，原始农耕生活，远古的传说；早期国家与社会变革：夏</w:t>
            </w:r>
            <w:r>
              <w:rPr>
                <w:rFonts w:hint="eastAsia" w:ascii="宋体" w:hAnsi="宋体" w:eastAsia="宋体" w:cs="宋体"/>
                <w:i w:val="0"/>
                <w:iCs w:val="0"/>
                <w:color w:val="000000"/>
                <w:sz w:val="21"/>
                <w:szCs w:val="21"/>
                <w:u w:val="none"/>
                <w:lang w:val="en-US" w:eastAsia="zh-CN" w:bidi="ar"/>
              </w:rPr>
              <w:t xml:space="preserve">商周的更替，青铜器与甲骨文，动荡的春秋时期，战国时期的社会变化，百家争鸣；统一多民族国家的建立和巩固：秦统一中国，秦末农民大起义，西汉建立和“文景之治”，汉武帝巩固大一统王朝，东汉的兴衰，沟通中外文明的“丝绸之路”，两汉的科技和文化；政权分立与民族交融：三国鼎立，西晋的短暂统一和北方各族的内迁，东晋南朝时期江南地区的开发，北魏政治和北方民族大交融，魏晋南北朝的科技与文化；繁荣与开放的时代：隋朝的统一与灭亡，从“贞观之治”到“开元盛世”，盛唐气象，唐朝的中外文化交流，安史之乱与唐朝衰亡；民族关系发展和社会变化</w:t>
            </w:r>
            <w:r>
              <w:rPr>
                <w:rFonts w:hint="eastAsia" w:ascii="宋体" w:hAnsi="宋体" w:eastAsia="宋体" w:cs="宋体"/>
                <w:i w:val="0"/>
                <w:iCs w:val="0"/>
                <w:color w:val="000000"/>
                <w:sz w:val="21"/>
                <w:szCs w:val="21"/>
                <w:u w:val="none"/>
                <w:lang w:val="en-US" w:eastAsia="zh-CN" w:bidi="ar"/>
              </w:rPr>
              <w:t xml:space="preserve">：北宋的政治，辽、西夏与北宋的并立，金与南宋的对峙，宋代经济的发展，蒙古族的兴起与元朝的建立，元朝的统治，宋元时期的都市和文化，宋元时期的科技与中外交通；统一多民族国家的巩固与发展：明朝的统治，明朝的对外关系，明朝的科技、建筑与文学，明朝的灭亡，统一多民族国家的巩固和发展，清朝前期社会经济的发展，清朝君主专制的强化，清朝前期的文学艺术；中国开始沦为半殖民地半封建社会：鸦片战争，第二次鸦片战争，太平天国运动；近代化的早期探索与民族危机的加剧：洋务运动，甲午中日战争与列强瓜分中国狂潮，戊戌变法，八国联军侵华与《</w:t>
            </w:r>
            <w:r>
              <w:rPr>
                <w:rFonts w:hint="eastAsia" w:ascii="宋体" w:hAnsi="宋体" w:eastAsia="宋体" w:cs="宋体"/>
                <w:i w:val="0"/>
                <w:iCs w:val="0"/>
                <w:color w:val="000000"/>
                <w:sz w:val="21"/>
                <w:szCs w:val="21"/>
                <w:u w:val="none"/>
                <w:lang w:val="en-US" w:eastAsia="zh-CN" w:bidi="ar"/>
              </w:rPr>
              <w:t xml:space="preserve">辛丑条约》签订；资产阶级民主革命与中华民国的建立：革命先行者孙中山，辛亥革命，中华民国的创建，北洋政府的统治与军阀割据；新民主主义革命的开始：新文化运动，五四运动，中国共产党诞生；从国共合作到国共对立：北伐战争，毛泽东开辟井冈山道路，中国工农红军长征；中华民族的抗日战争：从九一八事变到西安事变，七七事变与全民族抗战，正面战场的抗战，敌后战场的抗战，抗日战争的胜利；人民解放战争：内战爆发，人民解放战争的胜利；近代经济、社会生活与教育文化事业的发展：经济和社会生活的变化，教学文化事业的发展；中华人民共和国的成立</w:t>
            </w:r>
            <w:r>
              <w:rPr>
                <w:rFonts w:hint="eastAsia" w:ascii="宋体" w:hAnsi="宋体" w:eastAsia="宋体" w:cs="宋体"/>
                <w:i w:val="0"/>
                <w:iCs w:val="0"/>
                <w:color w:val="000000"/>
                <w:sz w:val="21"/>
                <w:szCs w:val="21"/>
                <w:u w:val="none"/>
                <w:lang w:val="en-US" w:eastAsia="zh-CN" w:bidi="ar"/>
              </w:rPr>
              <w:t xml:space="preserve">和巩固：中华人民共和国成立，抗美援朝，土地改革；社会主义制度的建立与社会主义建设的探索：新中国工业化的起步和人民代表大会制度的确立，三大改造，艰辛探索与建设成就；中国特色社会主义道路：伟大的历史转折，经济体制改革，对外开放，建设中国特色社会主义，为实现中国梦而努力奋斗；民族团结与祖国统一：民族大团结，香港和澳门回归祖国，海峡两岸的交往；国防建设与外交成就：钢铁长城，独立自主的和平外交，外交事业的发展；科技文化与社会生活：科技文化成就，社会生活的变迁；古代亚非文明：古代埃及，古代两河流域，古代印度；古代欧洲文</w:t>
            </w:r>
            <w:r>
              <w:rPr>
                <w:rFonts w:hint="eastAsia" w:ascii="宋体" w:hAnsi="宋体" w:eastAsia="宋体" w:cs="宋体"/>
                <w:i w:val="0"/>
                <w:iCs w:val="0"/>
                <w:color w:val="000000"/>
                <w:sz w:val="21"/>
                <w:szCs w:val="21"/>
                <w:u w:val="none"/>
                <w:lang w:val="en-US" w:eastAsia="zh-CN" w:bidi="ar"/>
              </w:rPr>
              <w:t xml:space="preserve">明：希腊城邦和亚历山大帝国，罗马城邦和罗马帝国，希腊罗马古典文化；封建时代的欧洲：基督教的兴起和法兰克王国，西欧庄园，中世纪城市和大学的兴起，拜占庭帝国和《查士丁尼法典》；封建时代的亚洲国家：古代日本，阿拉伯帝国；走向近代：西欧经济和社会的发展，文艺复兴运动，探寻新航路，早期殖民掠夺；资本主义制度的初步确立：君主立宪制的英国，美国的独立，法国大革命和拿破仑帝国；工业革命和国际共产主义运动的兴起：第一次工业革命，马克思主义的诞生和国际共产主义运动的兴起；殖民地人民的反抗与资本主义制度的扩展：殖民地人民的反抗斗</w:t>
            </w:r>
            <w:r>
              <w:rPr>
                <w:rFonts w:hint="eastAsia" w:ascii="宋体" w:hAnsi="宋体" w:eastAsia="宋体" w:cs="宋体"/>
                <w:i w:val="0"/>
                <w:iCs w:val="0"/>
                <w:color w:val="000000"/>
                <w:sz w:val="21"/>
                <w:szCs w:val="21"/>
                <w:u w:val="none"/>
                <w:lang w:val="en-US" w:eastAsia="zh-CN" w:bidi="ar"/>
              </w:rPr>
              <w:t xml:space="preserve">争，俄国的改革，美国内战，日本明治维新；第二次工业革命和近代科学文化：第二次工业革命，工业化国家的社会变化，近代科学与文化；第一次世界大战和战后初期的世界：第一次世界大战，列宁与十月革命，《凡尔赛条约》和《九国公约》，苏联的社会主义建设，亚非拉民族民主运动的高涨；经济大危机和第二次世界大战：罗斯福新政，法西斯国家的侵略扩张，第二次世界大战；二战后的世界变化：冷战，二战后资本主义的新变化，社会主义的发展与挫折，亚非拉国家的新发展；走向和平发展的世界：联合国与世界贸易组织，冷战后的世界格局，不断发展的现代社会；</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518"/>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地理AR教学系统/历史AR教学系统</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#1.硬件组成：支架1个、专用识别板1块、无线同屏设备1套；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部分：可通过平板无线识别到识别板，可实现无线投屏到大屏，便于学生观看；系统采用AR现实增强技术方式展示、动态互动，对教学知识进行全方位观察，同时配合文字、图片、语音等元素，学习起来更加生动、形象、直观；加强学生的参与感，提高学生的学习兴趣；系统设置有课程内容目录、难题详解、退出等控制。软件具有答题交互功能，每个AR内容均设置有题库，每次可从题库中随机组题作答，每道题作答时设置倒计时，答题结束后自动统计作答成绩，并可查看答题详情，同时也可以选择重新答题，重新作答的题目从题库中重新抽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地理课程内容：六大板块：亚欧板块、非洲板块、美洲板块、太平洋板块、印度洋板块和南极洲板块，火山、地震带；等高线：海拔、相对高度，等高线概念，山峰、山脊、山谷、陡崖、鞍部，等高线应用案例；等高线应用</w:t>
            </w:r>
            <w:r>
              <w:rPr>
                <w:rFonts w:hint="eastAsia" w:ascii="宋体" w:hAnsi="宋体" w:eastAsia="宋体" w:cs="宋体"/>
                <w:i w:val="0"/>
                <w:iCs w:val="0"/>
                <w:color w:val="000000"/>
                <w:sz w:val="21"/>
                <w:szCs w:val="21"/>
                <w:u w:val="none"/>
                <w:lang w:val="en-US" w:eastAsia="zh-CN" w:bidi="ar"/>
              </w:rPr>
              <w:t xml:space="preserve">案例：互动及水坝的选址；经纬网：经线，纬线，南、北半球，低中高纬度，北回归线、南回归线、北极圈、南极圈，本初子午线，东、西半球分界线；中国地形地势：我国主要山脉，四大高原，四大盆地，三大平原，三大丘陵，三大阶梯；地上河：黄河概况，黄河特征、凌汛过程，黄河上游、中游、下游特征，地上河形成过程；喀斯特地貌：中国喀斯特分布，形成的气候原因，地质因素，对农业的影响；黄土地貌：黄土塬、黄土梁、黄土峁、黄土川，黄土高原水土流失状况，水土流失导致的原因（自然原因、人为原因）；世界气候类型：气候类型分布，热带雨林气候，热带</w:t>
            </w:r>
            <w:r>
              <w:rPr>
                <w:rFonts w:hint="eastAsia" w:ascii="宋体" w:hAnsi="宋体" w:eastAsia="宋体" w:cs="宋体"/>
                <w:i w:val="0"/>
                <w:iCs w:val="0"/>
                <w:color w:val="000000"/>
                <w:sz w:val="21"/>
                <w:szCs w:val="21"/>
                <w:u w:val="none"/>
                <w:lang w:val="en-US" w:eastAsia="zh-CN" w:bidi="ar"/>
              </w:rPr>
              <w:t xml:space="preserve">草原气候，温带季风气候，寒带气候；现代化的乳产品生产过程：欧洲人饮食结构，欧洲西部的畜牧业，现代化的乳产品生产过程，约翰家的乳畜农场；水库调节径流：水资源分布不均，水利工程，兴建水库，三峡工程，南水北调工程；因地制宜发展农业：农业生产要素，因地制宜必要性；地形剖面图：概念及说明现象；地球外部圈层：大气圈成分和位置，大气层分对流层、平流层、中间层、热层和散逸层，大气圈作用，水圈组成，地表水、地下水、大气水、生物水之间相互关系，生物圈组成，各圈层联系；土壤剖面结构：土壤定义，土壤发生层，土壤剖面五个土壤层（有机</w:t>
            </w:r>
            <w:r>
              <w:rPr>
                <w:rFonts w:hint="eastAsia" w:ascii="宋体" w:hAnsi="宋体" w:eastAsia="宋体" w:cs="宋体"/>
                <w:i w:val="0"/>
                <w:iCs w:val="0"/>
                <w:color w:val="000000"/>
                <w:sz w:val="21"/>
                <w:szCs w:val="21"/>
                <w:u w:val="none"/>
                <w:lang w:val="en-US" w:eastAsia="zh-CN" w:bidi="ar"/>
              </w:rPr>
              <w:t xml:space="preserve">质层、腐殖质层、淋溶层、淀积层、母质层），自然界中的土壤剖面，土壤形成、发育过程、肥力； 地球公转：地球公转，近日点与远日点，太阳直射点的移动，春分、夏至、秋分、冬至时间，南北半球冬夏半年，昼夜长短与正午太阳高度关系，太阳直射点的在南北日回归线之间的移动互动，地球公转与四季的关系，太阳光照角度与热量差异的探究，黄道面、赤道面互动探究，南北极圈、南北回归线互动；支持打开或关闭太阳在南北回归线的运动轨迹图，支持打开或关闭特殊纬线，支持打开或关闭黄道面、赤道面，支持打开或关闭太阳直射光线，支持查看太阳光线角度； </w:t>
            </w:r>
            <w:r>
              <w:rPr>
                <w:rFonts w:hint="eastAsia" w:ascii="宋体" w:hAnsi="宋体" w:cs="宋体"/>
                <w:i w:val="0"/>
                <w:iCs w:val="0"/>
                <w:color w:val="000000"/>
                <w:sz w:val="21"/>
                <w:szCs w:val="21"/>
                <w:u w:val="none"/>
                <w:lang w:val="en-US" w:eastAsia="zh-CN" w:bidi="ar"/>
              </w:rPr>
              <w:t xml:space="preserve">地球自转</w:t>
            </w:r>
            <w:r>
              <w:rPr>
                <w:rFonts w:hint="eastAsia" w:ascii="宋体" w:hAnsi="宋体" w:eastAsia="宋体" w:cs="宋体"/>
                <w:i w:val="0"/>
                <w:iCs w:val="0"/>
                <w:color w:val="000000"/>
                <w:sz w:val="21"/>
                <w:szCs w:val="21"/>
                <w:u w:val="none"/>
                <w:lang w:val="en-US" w:eastAsia="zh-CN" w:bidi="ar"/>
              </w:rPr>
              <w:t xml:space="preserve">：地球的自转，太阳日与恒星日，自转速度与角度，昼夜交替，晨昏线，昼半球与夜半球，时区，24时区图，地球24时区分布模型，国际日期变更线及日期变更规则，主要城市时间差异，特殊经纬线，各时区中央经线，各时区时间差异，地球自转与时间变化互动，北京时间由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历史课程内容：AR资源内容涉及到3D模型、视频、图片、史料链接，部分资源可实现拆解、旋转、合并、放大、缩小等操作；可用手指对自己某个感兴的模型特殊位置进行点读，对资源进行深度的介绍；人面鱼纹彩陶盆：出土时间、位置，材质、外观结构特征，制作工艺，仰韶文化，新石器时代，历史意义；骨耜：材质，外观结构，使用方法，河姆渡文化，历史意义；四羊方尊：用途，出土时间，外观结构特征，铸造工艺，象</w:t>
            </w:r>
            <w:r>
              <w:rPr>
                <w:rFonts w:hint="eastAsia" w:ascii="宋体" w:hAnsi="宋体" w:eastAsia="宋体" w:cs="宋体"/>
                <w:i w:val="0"/>
                <w:iCs w:val="0"/>
                <w:color w:val="000000"/>
                <w:sz w:val="21"/>
                <w:szCs w:val="21"/>
                <w:u w:val="none"/>
                <w:lang w:val="en-US" w:eastAsia="zh-CN" w:bidi="ar"/>
              </w:rPr>
              <w:t xml:space="preserve">征意义，先秦时期对羊的个性归纳；后母戊鼎：出土时间、位置和所属历史背景，陶质块范铸法（制模-制范-浇铸-修整），外观结构特征（尺寸、重量、铭文、纹理），历史意义；甲骨文：甲骨文的定义，发现、内容及意义，甲骨文多种造字方法，甲骨文互动游戏；步辇图：阎立本画作，松赞干布统一西藏，松赞干布求婚，文成公主入藏，唐蕃进一步友好交往，唐蕃和亲历史意义；五大名窑：中国瓷器的发展史，宋朝的五大名窑，其各自的风格特色，及各自的代表作品；北京人：北京人遗址，北京人特征与现代人头骨比较，旧石器时代，用火的意义，北京人遗址历史意义</w:t>
            </w:r>
            <w:r>
              <w:rPr>
                <w:rFonts w:hint="eastAsia" w:ascii="宋体" w:hAnsi="宋体" w:eastAsia="宋体" w:cs="宋体"/>
                <w:i w:val="0"/>
                <w:iCs w:val="0"/>
                <w:color w:val="000000"/>
                <w:sz w:val="21"/>
                <w:szCs w:val="21"/>
                <w:u w:val="none"/>
                <w:lang w:val="en-US" w:eastAsia="zh-CN" w:bidi="ar"/>
              </w:rPr>
              <w:t xml:space="preserve">；纸币：北宋纸币铜版拓片；活字印刷术：印刷术的发展历史（雕版印刷，活字印刷），工艺流程（胶泥刻字-烧制字模-制版-排版-融化松脂，压平字版-印书-泥字拆开，再次排版），木活字，铜活字，重大影响（文化传播），印刷术互动游戏； 司南模型：磁石指南的发现，指南工具的发展历史，航海应用，历史意义；楔形文字：两河流域，古巴比伦王国，楔形文字；帕特农神庙：建筑艺术，文化意义，城邦民主制度；何尊：何尊的造型、特点、纹饰，蛇纹、蕉叶纹、兽面纹、内底铭文介绍及特效展示，“宅兹中国”铭文特效展示，何尊的由来以及铭文的历史意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916"/>
                <w:rFonts w:hint="eastAsia" w:ascii="宋体" w:hAnsi="宋体" w:eastAsia="宋体" w:cs="宋体"/>
                <w:sz w:val="21"/>
                <w:szCs w:val="21"/>
                <w:lang w:val="en-US" w:eastAsia="zh-CN" w:bidi="ar"/>
              </w:rPr>
              <w:t xml:space="preserve">5.</w:t>
            </w:r>
            <w:r>
              <w:rPr>
                <w:rStyle w:val="916"/>
                <w:rFonts w:hint="eastAsia" w:ascii="宋体" w:hAnsi="宋体" w:eastAsia="宋体" w:cs="宋体"/>
                <w:b/>
                <w:bCs/>
                <w:sz w:val="21"/>
                <w:szCs w:val="21"/>
                <w:lang w:val="en-US" w:eastAsia="zh-CN" w:bidi="ar"/>
              </w:rPr>
              <w:t xml:space="preserve">产品具有计算机软件著作权登记证书或软件开发商授权书，投标时提供证书原件扫描件；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地理全息交互教学系统/历史全息交互教学系统</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#1.主成像模组:物理分辨率≥1920×1920；成像比例1:1；成像对比度≥1000:1；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#2.全息成像模组：360°全息，全息成像区透光率≥65%、反光率≥30%；</w:t>
            </w:r>
            <w:r>
              <w:rPr>
                <w:rFonts w:hint="eastAsia" w:ascii="宋体" w:hAnsi="宋体" w:cs="宋体"/>
                <w:i w:val="0"/>
                <w:iCs w:val="0"/>
                <w:color w:val="000000"/>
                <w:sz w:val="21"/>
                <w:szCs w:val="21"/>
                <w:u w:val="none"/>
                <w:lang w:val="en-US" w:eastAsia="zh-CN" w:bidi="ar"/>
              </w:rPr>
              <w:t xml:space="preserve">全息</w:t>
            </w:r>
            <w:r>
              <w:rPr>
                <w:rFonts w:hint="eastAsia" w:ascii="宋体" w:hAnsi="宋体" w:eastAsia="宋体" w:cs="宋体"/>
                <w:i w:val="0"/>
                <w:iCs w:val="0"/>
                <w:color w:val="000000"/>
                <w:sz w:val="21"/>
                <w:szCs w:val="21"/>
                <w:u w:val="none"/>
                <w:lang w:val="en-US" w:eastAsia="zh-CN" w:bidi="ar"/>
              </w:rPr>
              <w:t xml:space="preserve">影像在正常日光照度下可见；全息成像四周均可同时观看，单面最大可视角度≥140°；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功能概述：全息成像区域体积≥500mm*500mm*250mm；支持小组学习，4组触控屏应与教学系统一体化连接，每组参与交互学习的学生均可通过交互触控屏独立操作教学软件，互不冲突；系统还应具有升级空间，可扩展远程集中控制或移动终端控制等网络拓展能力；教师端控制视频播放可同步到多媒体终端设备，实现多媒体终端设备与全息设备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含教师平台端：可控制全息集中观看、分组学习、互动答题三种模式；集中观看模式下，可加减音量，控制暂停与播放。具有答题交互功能，题目为开放式，可实现自主命题；自动生成学生课堂作答分析评测图等；学生学习端：具有自主学习的全息课程资源；四块屏幕每面全息屏均可实现独立自主学习，并可答题巩固；可接收教师发送的题目，每组学生自主完成作答并反馈到PC端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#5.地理演示内容均采用全息形式呈现：垂直地域分布：我国气候特征，横断山区垂直地域分布；地形对气温降水的影响：不同地形气温的变化，山地迎风坡与背风坡降水的变化，气</w:t>
            </w:r>
            <w:r>
              <w:rPr>
                <w:rFonts w:hint="eastAsia" w:ascii="宋体" w:hAnsi="宋体" w:eastAsia="宋体" w:cs="宋体"/>
                <w:i w:val="0"/>
                <w:iCs w:val="0"/>
                <w:color w:val="000000"/>
                <w:sz w:val="21"/>
                <w:szCs w:val="21"/>
                <w:u w:val="none"/>
                <w:lang w:val="en-US" w:eastAsia="zh-CN" w:bidi="ar"/>
              </w:rPr>
              <w:t xml:space="preserve">温变化规律；冬夏季风：我国地理位置因素，海陆差异，冬季盛行风，夏季盛行风，季风气候的影响；煤炭：可再生资源，非可再生资源，煤炭资源的形成过程，可持续发展；台风：气象灾害，干旱与洪涝，寒潮，台风形成过程，台风破坏力，防灾减灾，台风预报；凯里斯农场：农业机械化、专业化，美国农业介绍，凯里斯农场介绍；地质灾害：主要的地质灾害（地震、滑坡、泥石流），地震的危害，如何躲避，滑坡介绍，泥石流的危害，我国的自然灾害介绍历史演示内容：历史人物出生地、生活的时期、相关背景、核心思想、对后世的影响等知识点，均采用全息形式呈现；</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75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#1.讲台长×宽×高≥1280mm×580mm×1000mm±5mm，环抱老师式设计，根据人体力学设计，讲台桌面高度合适老师放置教学用品。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#2.钢木结合设计，采用冷轧钢板桌体，桌体所有金属板厚度≥1.5mm，老师接触位置为木质桌面，桌面采用E0级环保高密度板。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#3.讲台桌面平整，全封闭设计，整体外观流线型设计，无</w:t>
            </w:r>
            <w:r>
              <w:rPr>
                <w:rFonts w:hint="eastAsia" w:ascii="宋体" w:hAnsi="宋体" w:cs="宋体"/>
                <w:i w:val="0"/>
                <w:iCs w:val="0"/>
                <w:color w:val="000000"/>
                <w:sz w:val="21"/>
                <w:szCs w:val="21"/>
                <w:u w:val="none"/>
                <w:lang w:val="en-US" w:eastAsia="zh-CN" w:bidi="ar"/>
              </w:rPr>
              <w:t xml:space="preserve">棱角</w:t>
            </w:r>
            <w:r>
              <w:rPr>
                <w:rFonts w:hint="eastAsia" w:ascii="宋体" w:hAnsi="宋体" w:eastAsia="宋体" w:cs="宋体"/>
                <w:i w:val="0"/>
                <w:iCs w:val="0"/>
                <w:color w:val="000000"/>
                <w:sz w:val="21"/>
                <w:szCs w:val="21"/>
                <w:u w:val="none"/>
                <w:lang w:val="en-US" w:eastAsia="zh-CN" w:bidi="ar"/>
              </w:rPr>
              <w:t xml:space="preserve">处理，正面中部受到170N的冲击力时不会倾倒，保护师生安全。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讲台支持标准机柜收纳，支持≥12U的设备收纳放置，收纳空间（含机柜部分）≥950mm×500mm×650mm±5mm，前后门都可以打开，方便设备安装及维护，前门采用隐藏式按压弹簧开关设计，美观且易于操作，后门采用双开门式设计，只需要一把锁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#5.讲台自带≥23.8英寸电容触摸屏且采用防眩光钢化玻璃面板，厚度≥2mm；支持≥10点触控；支持屏幕手动角度调节，可实现与桌面形成20°至80°角度调节。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#6.屏体侧面具有物理实体快捷按键≥8个，按键功能包括对屏幕一键开/关屏幕.对匹配的多媒体设备（如智慧黑板或一体机）进行一键熄屏以及一键音量加.一键音量减；实现与班级多媒体设备无缝对接。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#7.接口：HDMI IN≥2个，HDMI OUT≥1个，Type-C≥1个，USB≥4个，RJ45≥1个；AUDIO OUT≥1个，RS232≥1个，220V国标五插电源接口≥1个（支持对外供电）。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#8.屏体侧边内置NFC模块；讲台屏至少支持NFC刷卡.二维码2种方式实现设备使用前的用户身份认证。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#9.讲台屏自带定制化独立操作系统，基于正版系统 11及以上版本，可在任意通道下唤出多功能中控菜单并实现相关操作。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#10.屏幕可调出中控菜单界面，支持一键上课及下课两种场景控制，也可以对连接的设备单独控制开关机；支持对屏幕输入源显示画面切换，包括智能平板.电脑.HDMI.Type-C。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#11.当接入匹配教室内的录播产品时，可显示录播导播流画面，选择开始录制.暂停录制和结束录制等功能；支持当接入匹配教室内的物联产品时，可视化显示物联设备且可进行应用场景化管理。</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#1.规格：（940+520）×440×780mm；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#2.台面：25mm厚高灰色密度板外贴耐磨防火板.流线等工艺处理后；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#3.台身：采用立柱Φ40mm,横杆20×20mm的钢管结构，轻巧.便于移动； 可拼搭自由组合式,全班统筹，可根据教学需进行1桌1人.2桌三人.3桌6人等多种组合变化。</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#1.规格：50*49*82*45cm；材质：实木弯板+铁艺脚；颜色：酒红色；风格：北欧风格，极简主义，色彩典雅，质感柔美。</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展柜</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#1.规格：750*600*400mm；容纳地貌模型的玻璃展柜。</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top"/>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222"/>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中国语音立体地形图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#1.中国立体地形模型外框尺寸:2720×1870 mm,有效地图尺寸：2560×1700mm,水平比例尺：1：240万,垂直比例尺：1：16.5万,材质：采用2mm 厚ABS材质,灯光：采用高亮度带卡式LED灯，灯泡直径为3mm;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#2.控制系统：无线控制,语音系统：工业级别MP3，音质优美动听,支持汉语、蒙语、藏语、维语及朝鲜语多种民族语言，支持版本：汉语版、蒙-汉版、藏-汉版、维-汉版、鲜-汉版,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#3.中国地理总体概况我国</w:t>
            </w:r>
            <w:r>
              <w:rPr>
                <w:rFonts w:hint="eastAsia" w:ascii="宋体" w:hAnsi="宋体" w:eastAsia="宋体" w:cs="宋体"/>
                <w:i w:val="0"/>
                <w:iCs w:val="0"/>
                <w:color w:val="000000"/>
                <w:sz w:val="21"/>
                <w:szCs w:val="21"/>
                <w:u w:val="none"/>
                <w:lang w:val="en-US" w:eastAsia="zh-CN" w:bidi="ar"/>
              </w:rPr>
              <w:t xml:space="preserve">地理位置、疆域和政区,地形特征和分布：三级阶梯、地形类型及地形对经济发展的影响,钓鱼岛、黄岩岛,中国地理详细分述,河流：长江、黄河、京杭大运河、松花江、珠江、海河、塔里木河,铁路：京沪线、京广线、京九线、京哈线、宝成—成昆—南昆线、京秦—京包—包兰线、陇海-兰新线、沪杭—浙赣—湘黔—贵昆线、天路-青藏线、滨洲线滨绥线,四大高原：青藏高原、黄土高原、内蒙古高原、云贵高原,四大盆地：塔里木盆地、准噶尔盆地、柴达木盆地、四川盆地,三大平原：东北平原、华北平原、长江中下游平原,山脉：山脉总述、喜马拉雅山脉、五岳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中国立体地形模型多媒体联动演示软件:在用户操作指令发送给中国立体地形图之后，多媒体联动演示软件播放与中国立体地形图正在进行光电演示项目对应的多媒体内容，实现软硬件的联动演示，软件支持触摸操作。多媒体资源紧贴教材制作，采用多媒体展示方式，对演示项目进行生动详实的介绍。含配套接收信号硬件,通过多媒体资源方式详细演示中国地理总体概况、河流、铁路、四大高原、四大盆地、三大平原、山脉,多媒体资源支持自主更新替换，软件支持关键字检索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#5.中国地图拼图软件:中国地图细分“省/直辖市地图认知、全国地图拼合、省/直辖市/自治区下辖政区认知”3个模块,在“省/直辖市地图认知”环节，体验者通过把各省/直</w:t>
            </w:r>
            <w:r>
              <w:rPr>
                <w:rFonts w:hint="eastAsia" w:ascii="宋体" w:hAnsi="宋体" w:eastAsia="宋体" w:cs="宋体"/>
                <w:i w:val="0"/>
                <w:iCs w:val="0"/>
                <w:color w:val="000000"/>
                <w:sz w:val="21"/>
                <w:szCs w:val="21"/>
                <w:u w:val="none"/>
                <w:lang w:val="en-US" w:eastAsia="zh-CN" w:bidi="ar"/>
              </w:rPr>
              <w:t xml:space="preserve">辖市/自治区简称、拖到对应的各省/直辖市/自治区的区域地图上，通过体验加强对各省/直辖市/自治区简称和区域地图的双重认知,在“全国地图拼合”环节，体验者把各省/直辖市/自治区的区域图拼合到全国地图里，通过体验加强对各省/直辖市/自治区具体地理位置的认识,在“省/直辖市/自治区下辖政区认知”环节，搜集全国各省下辖地级市、省直辖县，各直辖市下辖区/县的名称，体验者要把这些地级市/区/县的名称在各省/直辖市地图里，拖到对应的位置。通过体验加强对全国各省/直辖市下辖政区的认知,以上拼图环节均设置有计时，可拼图竞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w:t>
            </w:r>
            <w:r>
              <w:rPr>
                <w:rStyle w:val="916"/>
                <w:rFonts w:hint="eastAsia" w:ascii="宋体" w:hAnsi="宋体" w:eastAsia="宋体" w:cs="宋体"/>
                <w:b/>
                <w:bCs/>
                <w:sz w:val="21"/>
                <w:szCs w:val="21"/>
                <w:lang w:val="en-US" w:eastAsia="zh-CN" w:bidi="ar"/>
              </w:rPr>
              <w:t xml:space="preserve">提供具有CMA认证标识的第三方测试报告原件扫描件。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872"/>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世界语音立体地形图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#1.世界立体地形模型,外形尺寸：2720×1870mm,有效地图尺寸：2480×1550mm,水平比例尺：1：1300万,垂直比例尺：1：39.3万, 材质：采用2mm 厚ABS材质,灯光：采用高亮度带卡式LED灯，灯泡直径为3mm。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#2.控制系统：无线控制, 语音系统：工业级别MP3，音质优美动听,支持汉语、蒙语、藏语、维语及朝鲜语多种民族语言，支持版本：汉语版、蒙-汉版、藏-汉版、维-汉版、鲜-汉版;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#3.世界概况总体介绍:</w:t>
            </w:r>
            <w:r>
              <w:rPr>
                <w:rFonts w:hint="eastAsia" w:ascii="宋体" w:hAnsi="宋体" w:cs="宋体"/>
                <w:i w:val="0"/>
                <w:iCs w:val="0"/>
                <w:color w:val="000000"/>
                <w:sz w:val="21"/>
                <w:szCs w:val="21"/>
                <w:u w:val="none"/>
                <w:lang w:val="en-US" w:eastAsia="zh-CN" w:bidi="ar"/>
              </w:rPr>
              <w:t xml:space="preserve">七大洲</w:t>
            </w:r>
            <w:r>
              <w:rPr>
                <w:rFonts w:hint="eastAsia" w:ascii="宋体" w:hAnsi="宋体" w:eastAsia="宋体" w:cs="宋体"/>
                <w:i w:val="0"/>
                <w:iCs w:val="0"/>
                <w:color w:val="000000"/>
                <w:sz w:val="21"/>
                <w:szCs w:val="21"/>
                <w:u w:val="none"/>
                <w:lang w:val="en-US" w:eastAsia="zh-CN" w:bidi="ar"/>
              </w:rPr>
              <w:t xml:space="preserve">：介绍七大洲的地理位置、地形特点、气候特征、国家人口分布、经济概况等;四大洋:介绍四大洋的地理位置、地形特点、气候特征、资源分布、航线港口等;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#4.世界地理详细分述:主要国家首府、首都：北京、东京、新德里、开罗、堪培拉、巴西利亚、渥太华、华盛顿、莫斯科、柏林、罗马、巴黎、伦敦,世界能源分布：核电站、石油</w:t>
            </w:r>
            <w:r>
              <w:rPr>
                <w:rFonts w:hint="eastAsia" w:ascii="宋体" w:hAnsi="宋体" w:cs="宋体"/>
                <w:i w:val="0"/>
                <w:iCs w:val="0"/>
                <w:color w:val="000000"/>
                <w:sz w:val="21"/>
                <w:szCs w:val="21"/>
                <w:u w:val="none"/>
                <w:lang w:val="en-US" w:eastAsia="zh-CN" w:bidi="ar"/>
              </w:rPr>
              <w:t xml:space="preserve">天然气</w:t>
            </w:r>
            <w:r>
              <w:rPr>
                <w:rFonts w:hint="eastAsia" w:ascii="宋体" w:hAnsi="宋体" w:eastAsia="宋体" w:cs="宋体"/>
                <w:i w:val="0"/>
                <w:iCs w:val="0"/>
                <w:color w:val="000000"/>
                <w:sz w:val="21"/>
                <w:szCs w:val="21"/>
                <w:u w:val="none"/>
                <w:lang w:val="en-US" w:eastAsia="zh-CN" w:bidi="ar"/>
              </w:rPr>
              <w:t xml:space="preserve">、煤炭,世界十大河流：鄂毕河、勒拿河、湄公河、刚果河、拉普拉塔河、黄河、密西西比河、长江、亚马逊河、尼罗河,国际金融中心：纽约、伦敦、新加坡、</w:t>
            </w:r>
            <w:r>
              <w:rPr>
                <w:rFonts w:hint="eastAsia" w:ascii="宋体" w:hAnsi="宋体" w:cs="宋体"/>
                <w:i w:val="0"/>
                <w:iCs w:val="0"/>
                <w:color w:val="000000"/>
                <w:sz w:val="21"/>
                <w:szCs w:val="21"/>
                <w:u w:val="none"/>
                <w:lang w:val="en-US" w:eastAsia="zh-CN" w:bidi="ar"/>
              </w:rPr>
              <w:t xml:space="preserve">中国香港</w:t>
            </w:r>
            <w:r>
              <w:rPr>
                <w:rFonts w:hint="eastAsia" w:ascii="宋体" w:hAnsi="宋体" w:eastAsia="宋体" w:cs="宋体"/>
                <w:i w:val="0"/>
                <w:iCs w:val="0"/>
                <w:color w:val="000000"/>
                <w:sz w:val="21"/>
                <w:szCs w:val="21"/>
                <w:u w:val="none"/>
                <w:lang w:val="en-US" w:eastAsia="zh-CN" w:bidi="ar"/>
              </w:rPr>
              <w:t xml:space="preserve">,国际航空枢纽：世界十大机场,港口：安特卫普、新加坡、</w:t>
            </w:r>
            <w:r>
              <w:rPr>
                <w:rFonts w:hint="eastAsia" w:ascii="宋体" w:hAnsi="宋体" w:cs="宋体"/>
                <w:i w:val="0"/>
                <w:iCs w:val="0"/>
                <w:color w:val="000000"/>
                <w:sz w:val="21"/>
                <w:szCs w:val="21"/>
                <w:u w:val="none"/>
                <w:lang w:val="en-US" w:eastAsia="zh-CN" w:bidi="ar"/>
              </w:rPr>
              <w:t xml:space="preserve">中国香港</w:t>
            </w:r>
            <w:r>
              <w:rPr>
                <w:rFonts w:hint="eastAsia" w:ascii="宋体" w:hAnsi="宋体" w:eastAsia="宋体" w:cs="宋体"/>
                <w:i w:val="0"/>
                <w:iCs w:val="0"/>
                <w:color w:val="000000"/>
                <w:sz w:val="21"/>
                <w:szCs w:val="21"/>
                <w:u w:val="none"/>
                <w:lang w:val="en-US" w:eastAsia="zh-CN" w:bidi="ar"/>
              </w:rPr>
              <w:t xml:space="preserve">、鹿特丹;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世界立体地形模型多媒体联动演示软件：在用户操作指令发送给世界立体地形图之后，多媒体联动演示软件播放与世界立体地形图正在进行光电演示项目对应的多媒体内容，实现软硬件的联动演示，软件支持触摸操作。多媒体资源紧贴教材制作，采用多媒体展示方式，对演示项目进行生动详实的介绍。含配套接收信号硬件,通过多媒体资源方式详细演示世界地理七大洲、四大洋、主要国家首府首都、能源、十大河流、金融中心、航空枢纽、港口,多媒体资源支持自主更新替换，软件支持关键字检索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世界地图拼图软件:世界地图细分“六大板块认知、七大洲四大洋认知、世界地图拼合”3个模块,在“六大板块认知”环节，把各板块名称拖到世界地图对应的板块位置，就会在地图上显示这个板块的界线，生长和消亡界线做出了区分，并且在地图上交</w:t>
            </w:r>
            <w:r>
              <w:rPr>
                <w:rFonts w:hint="eastAsia" w:ascii="宋体" w:hAnsi="宋体" w:eastAsia="宋体" w:cs="宋体"/>
                <w:i w:val="0"/>
                <w:iCs w:val="0"/>
                <w:color w:val="000000"/>
                <w:sz w:val="21"/>
                <w:szCs w:val="21"/>
                <w:u w:val="none"/>
                <w:lang w:val="en-US" w:eastAsia="zh-CN" w:bidi="ar"/>
              </w:rPr>
              <w:t xml:space="preserve">代了一些重要的山系和海沟。加强对板块区域和板块运动的认识,在“七大洲四大洋认知”环节，把各大洲和各大洋名称拖到世界地图对应的位置，就会在世界地图里显示对应大洲大洋的区域，包括可以看到各大洲都包括了哪些国家的信息,在“世界地图拼合”环节，系统搜集了全世界最主要的60多个国家的信息，每次随机出现4个国家的小地图，体验者把这些国家的地图拖到世界地图对应的位置上。另外，可以点击按钮开启各大洲、各大板块的信息，加强认识各个国家所属大洲和板块的情况。加强对一些国家地理知识融会贯通,以上拼图环节均设置有计时，可拼图竞赛;</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黄土地貌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#1.规格：600×400mm,均采用pvc材质精制而成、仿真微缩内容完整充实、紧扣教材；包括：冲沟、河谷、黄土梁、黄土茆、川、窑洞及人工改造的平原、梯地（在茆上有同心园梯地）。</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喀斯特地貌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#1.规格：600×400mm,均采用pvc材质精制而成、仿真微缩内容完整充实、紧扣教材；包括：石林、洼地坝子、落水洞、天生桥、峰林、地面河、溶洞、暗河、钟乳石、石笋、洞穴边石坝（莲花池）。</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五种地形模型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#1.规格：600×400mm,均采用pvc材质精制而成、仿真微缩内容完整充实、紧扣教材；表现：按合理的水平、垂直比例尺反映高原、山地、平原、丘陵和盆地。</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地上河模型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#1.规格：600×400mm,均采用pvc材质精制而成、仿真微缩内容完整充实、紧扣教材；郑州以东，</w:t>
            </w:r>
            <w:r>
              <w:rPr>
                <w:rFonts w:hint="eastAsia" w:ascii="宋体" w:hAnsi="宋体" w:cs="宋体"/>
                <w:i w:val="0"/>
                <w:iCs w:val="0"/>
                <w:color w:val="000000"/>
                <w:sz w:val="21"/>
                <w:szCs w:val="21"/>
                <w:u w:val="none"/>
                <w:lang w:val="en-US" w:eastAsia="zh-CN" w:bidi="ar"/>
              </w:rPr>
              <w:t xml:space="preserve">菏泽</w:t>
            </w:r>
            <w:r>
              <w:rPr>
                <w:rFonts w:hint="eastAsia" w:ascii="宋体" w:hAnsi="宋体" w:eastAsia="宋体" w:cs="宋体"/>
                <w:i w:val="0"/>
                <w:iCs w:val="0"/>
                <w:color w:val="000000"/>
                <w:sz w:val="21"/>
                <w:szCs w:val="21"/>
                <w:u w:val="none"/>
                <w:lang w:val="en-US" w:eastAsia="zh-CN" w:bidi="ar"/>
              </w:rPr>
              <w:t xml:space="preserve">以西段。黄河地上河最主要的特征、平原及地上河、铁路桥、开封铁塔、船只、虹吸管灌溉工程及清淤池、</w:t>
            </w:r>
            <w:r>
              <w:rPr>
                <w:rFonts w:hint="eastAsia" w:ascii="宋体" w:hAnsi="宋体" w:cs="宋体"/>
                <w:i w:val="0"/>
                <w:iCs w:val="0"/>
                <w:color w:val="000000"/>
                <w:sz w:val="21"/>
                <w:szCs w:val="21"/>
                <w:u w:val="none"/>
                <w:lang w:val="en-US" w:eastAsia="zh-CN" w:bidi="ar"/>
              </w:rPr>
              <w:t xml:space="preserve">菏泽</w:t>
            </w:r>
            <w:r>
              <w:rPr>
                <w:rFonts w:hint="eastAsia" w:ascii="宋体" w:hAnsi="宋体" w:eastAsia="宋体" w:cs="宋体"/>
                <w:i w:val="0"/>
                <w:iCs w:val="0"/>
                <w:color w:val="000000"/>
                <w:sz w:val="21"/>
                <w:szCs w:val="21"/>
                <w:u w:val="none"/>
                <w:lang w:val="en-US" w:eastAsia="zh-CN" w:bidi="ar"/>
              </w:rPr>
              <w:t xml:space="preserve">附近的南水北调穿黄河工程。</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流水地貌模型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允许实测尺寸±20mm，采用高分子材料精制而成、仿真微缩内容完整充实、紧扣教材。包括:上游的“V”形谷地及树枝。状水系，出山口的冲积扇，中游的泛滥平原、牛轭湖、下游的滨海平原、三角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荒漠（风蚀）地貌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#1.规格：600×400mm,均采用pvc材质精制而成、仿真微缩内容完整充实、紧扣教材；风蚀：风蚀城堡，风蚀蘑菇，风蚀洞穴，风蚀洼地，风蚀桂；风积：新月形沙丘，戈壁。</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板块模型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海底地形、地球内部圈层、地壳结构、地形变化、板块构造学说、火山地震的形成与分布、地球表面海陆轮、廓的形成等内容时使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等高线模型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#1.规格：600×400mm,均采用pvc材质精制而成、仿真微缩内容完整充实、紧扣教材；山头、鞍部、陡坡、缓坡、山谷线、山脊线、谷、陡崖、三圈等高线闭曲线，并有剖面图。</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AB1-40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#1.产品由球体和支架等组成；平面比例尺≥1:40000000。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AB1-41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平面政区地球仪</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#1.产品由球体和支架等组成；平面比例尺≥1:40000000。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AB1-42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可拆卸经纬网地球仪</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#1.规格：整体直径220mm。材质：高分子；教学用途：可拆卸组合，用于学习经纬网。直观呈现不同的纬度和经度，便于学生理解经度和纬度的含义。学生通过动手拼装地球仪，辨识经线和纬线。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AB1-43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太阳直射点与昼夜长短试验套装</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#1.试验箱规格：外径≥420*320*220mm；试验箱材质：采用PP材质经模具一体化设计成型，优质硬质珍珠棉内衬，材料环保无毒无味。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AB1-44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#1.地面开槽布线恢复90㎡。墙面文化墙20㎡。制度牌*6，规格90*60cm。顶层采用铝方通吊顶90㎡。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28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365"/>
        <w:gridCol w:w="6490"/>
        <w:gridCol w:w="750"/>
        <w:gridCol w:w="71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2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AC-生物园地</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8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室内育苗工厂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岛式实验桌</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#1.全钢结构.2400×900×760mm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#2.台面参数：采用13.0mm厚实芯双面理化膜优抗板台面，具有耐酸碱腐蚀、抗污染、防水、防火特性，台面立面倒角、打磨，各处光滑；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#3.台面化学性能依据GB/T 17657-2022人造板及饰面人造板理化性能试验办法进行不少于140项化学试剂及有机溶液检测，硫酸（98%）、77%硫酸、40%氢氟酸、硝酸（65%）、四氯化碳、氢氧</w:t>
            </w:r>
            <w:r>
              <w:rPr>
                <w:rFonts w:hint="eastAsia" w:ascii="宋体" w:hAnsi="宋体" w:eastAsia="宋体" w:cs="宋体"/>
                <w:i w:val="0"/>
                <w:iCs w:val="0"/>
                <w:color w:val="000000"/>
                <w:sz w:val="21"/>
                <w:szCs w:val="21"/>
                <w:u w:val="none"/>
                <w:lang w:val="en-US" w:eastAsia="zh-CN" w:bidi="ar"/>
              </w:rPr>
              <w:t xml:space="preserve">化钠（40%）、乙基苯、饱和氯化锌等检验结果均为无明显变化，分级结果为“5级”。物理性能依据 GB/T 17657-2022标准及其它相关的标准进行不少于27项检测，结果为：密度≥1.44g/㎝³；24h吸水率≤0.2%；静曲强度≥138MPa；弹性模量≥9890MPa；顺纹抗压强度≥176MPa；耐沸水性能：质量增加百分率≤0.01%、厚度增加百分率≤0.06%，表面质量等级：5级：无变化，边缘质量等级：5级：无明显变化；漆膜硬度：≥9H；耐臭氧（72h）；外观无明显变化；表面耐磨性能：≥1550r，未出</w:t>
            </w:r>
            <w:r>
              <w:rPr>
                <w:rFonts w:hint="eastAsia" w:ascii="宋体" w:hAnsi="宋体" w:eastAsia="宋体" w:cs="宋体"/>
                <w:i w:val="0"/>
                <w:iCs w:val="0"/>
                <w:color w:val="000000"/>
                <w:sz w:val="21"/>
                <w:szCs w:val="21"/>
                <w:u w:val="none"/>
                <w:lang w:val="en-US" w:eastAsia="zh-CN" w:bidi="ar"/>
              </w:rPr>
              <w:t xml:space="preserve">现磨损；尺寸稳定性检测结果：纵向≤0.04%、横向≤0.05%；漆膜附着力：六级：切割边缘完全平滑，网格内无脱落；体积电阻≤3.1*1012；表面电阻≤4.7*1012。含水率≤0.8%；负荷变形温度：＞200℃；抗霉性能依据JC/T 2039-2010标准进行检测：霉菌生长情况0级，抗菌性依据JC/T 2039-2010标准进行检测：不少于17种的菌种检测结果抗菌率≥99.99%；依据GB/T16422.2-2022标准进行1450小时以上氙灯老化试验，检测结果为样品无变色、发粘、裂纹等异常，等级为5级。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#4.台身：采用1.0mm优质镀锌钢板，采用CO2保护焊焊接，打磨处理，表面经耐酸碱EPOXY粉末烤漆处理（烤漆膜厚度平均值≥70μm），表面硬度附着力、耐腐蚀性符合国家GB/T3668-200X标准；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#5.固定桌脚：采用柜体内置可调ABS调整脚，保证调整脚前后都可以调节高低。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学生圆凳</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#1.规格：Φ300*450-500mm，凳面采用环保型ABS改性塑料一次性注塑成型，脚钢架椭圆形无缝钢管全圆满焊接完成，结构牢固，经高温粉体烤漆处理；承重不低于100kg；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#2.实验凳外观要求及安全性能（或力学性能）要求检测结果为合格；符合GB/T16422.2-2022《塑料 实验室光源暴露试验方法 第2部分：氙弧灯》标准，检测项目包含老化测试至少10h，检测结果：外观无明显变化；</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室内地上配电安装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#1.配电安装：地上采用铝塑护套管，内穿塑铜线，与家具有效固定。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室内地上给排水安装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#1.本项按照单间教室体量测算并施工。给水采用金属软连接与龙头连接，地上每套水嘴设一控制阀门。排水采用PVC管，连接处密封，包含下水等配件;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770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智能化种植一体机1</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产品尺寸：67*67*151cm；种植层数：3层；材质：食品级PP+PVC+ABS。种植模组通体不含金属零件，线材灯具IP65防水。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种植机结构: 模块化设计，相同种植模块或不同种植模块可一层至多层灵活组合，可任意增减层数，上下层无固定搭建顺序，各层可取用任意水箱的营养液。设备支持分层独立清洗，各种植层互不影响。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通信方式：wifi2.4G，ZigBee：IEEE802.15.4。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控制APP：提供多种蔬果、花卉、中草药种植方案</w:t>
            </w:r>
            <w:r>
              <w:rPr>
                <w:rFonts w:hint="eastAsia" w:ascii="宋体" w:hAnsi="宋体" w:eastAsia="宋体" w:cs="宋体"/>
                <w:i w:val="0"/>
                <w:iCs w:val="0"/>
                <w:color w:val="000000"/>
                <w:sz w:val="21"/>
                <w:szCs w:val="21"/>
                <w:u w:val="none"/>
                <w:lang w:val="en-US" w:eastAsia="zh-CN" w:bidi="ar"/>
              </w:rPr>
              <w:t xml:space="preserve">，从育苗到采收，手把手指导种植。可远程控制、自动控制、联动控制所有相关物联网设备（灯光、水泵、空调、加湿除湿等）。可设置多种管理模式，一人可以管理多台设备，一台设备也可由多人管理。可以对设备进行分组，支持三层分组：学校、班级、小组设备。可以自由设置多种联动场景（比如温度高于28℃，开启空调）。可实现各项数据和设备状态的异常报警功能，并可自定义报警等级（支持APP报警、短信报警、电话报警）。营养液在线调配教程、营养液使用全程指导。在线升级各项种植教程和数据。可以回看往期数据，并可下载以往数据，最多支持3个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植物生长灯：L600mm×（Φ30mm/φ50mm），发光角120°；每层2小1大共三根生长灯。定制生长光谱，生长光谱红蓝比例2.0:1-4.0:1，蓝光波峰460nm，红光波峰660nm，连续光谱，无频闪，有效光子密度PPFD≥200umos/m2.s（25cm层间高度）。交流电：220V 。灯具使用环境-10℃-40℃；寿命20000H。防护等级：IP65，防水接线，秒拆安装。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灯具控制模块：输入110V-220V 50Hz，输出：110V-230V，负载：10A。通信方式： ZigBee：IEEE802.15.4，可与其他物联网设备联动控制。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灯座：灯座高度可上下多档调节，灯管免工具简易拆卸即插式快捷安装，每平层有5个灯光安装位，不同功率的灯具可在任一安装位安装。植物生长灯照射角度可调节。同根灯管在灯座上支持水平安装、垂直安装两种方式。可根据种植需要提供高低2种不同功率的灯具（低功率灯具在8～18W、高功率灯在20～30W），高低功率可直接在灯光安装位置互换，灯具数量与功率可形成多种组合形式，支持每平层同种光谱下至少20种不同光强组合，便于学生完成光配方对比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隐藏式水路，上下水管内置于设备立柱。隐藏式电路，灯具电线内置于设备立柱，电线为防水秒接线。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物联网智能控制：支持接入多种传感设备，如温度、湿度、光照、CO2、营养液EC、pH、DO等传感器，实时监测相关环境参数。每层补光灯、水循环、潮汐水位设定、摄像头、对流小风扇开启等均可支持主流操作系统（如Android、iOS、HarmonyOS等）的手机APP进行远程控制。提供数据记录和分析功能，支持实验数据的收集、存储和导出，辅助教学和研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营养液供液模式：采用机械增氧，瀑布式供液，让营养液与空气充分搅拌，含氧量≥6mg/kg。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物联网多路灌溉系统：含水泵、物联网水泵控制模块。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水泵：（35±2）*（35±2）*（100±10）mm；额定电压DC12V，额定功率8-12W，出水口规格φ8mm。最大扬程≥4m，最大流量≥400L/h。进水口带过滤棉、静音水泵、缓启动、耐磨</w:t>
            </w:r>
            <w:r>
              <w:rPr>
                <w:rFonts w:hint="eastAsia" w:ascii="宋体" w:hAnsi="宋体" w:cs="宋体"/>
                <w:i w:val="0"/>
                <w:iCs w:val="0"/>
                <w:color w:val="000000"/>
                <w:sz w:val="21"/>
                <w:szCs w:val="21"/>
                <w:u w:val="none"/>
                <w:lang w:val="en-US" w:eastAsia="zh-CN" w:bidi="ar"/>
              </w:rPr>
              <w:t xml:space="preserve">氧化锆</w:t>
            </w:r>
            <w:r>
              <w:rPr>
                <w:rFonts w:hint="eastAsia" w:ascii="宋体" w:hAnsi="宋体" w:eastAsia="宋体" w:cs="宋体"/>
                <w:i w:val="0"/>
                <w:iCs w:val="0"/>
                <w:color w:val="000000"/>
                <w:sz w:val="21"/>
                <w:szCs w:val="21"/>
                <w:u w:val="none"/>
                <w:lang w:val="en-US" w:eastAsia="zh-CN" w:bidi="ar"/>
              </w:rPr>
              <w:t xml:space="preserve">轴承、带减震硅胶套。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多路物联网控制模块：三路控制，实现物联网控制功能，APP控制，可自定义水循环开启模式。具有识别水箱功能、缺水报警功能、水泵过滤棉堵塞报警功能、缺水自动切断电源功能。支持分级报警，使用者可自定义报警风险等级，支持APP、短信、电话三种报警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可独立控制供液循环，每台设备可提供1-4个水箱（数量根据种植需要选择），可同时支持3种不同营养液循环分层独立供液。一机多用，同时可开展潮汐、浅液流NFT、深液流DFT等不同灌溉模式。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 一键执行功能:可通过APP设置单层、多层、单台、多台、整个种植间的灯具、水泵、风扇、杀菌灯等所需单个或多个设备的一键开启或关闭。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 水箱：550m*400mm*340m ，由四个相同的等腰直角三角形组成，水箱带滑轮，便于移动。水箱内部带水泵静音卡位，降低噪音。水箱局部下凹式设计，水泵倾斜式安装，提高营养液抽取效率。水箱与种植机无接触组合，无水管连接，可直接抽出水箱清洗，无需拆解种植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15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智能化种植一体机2</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产品尺寸：67*67*213cm；种植层数：1层；材质：食品级PP+PVC+ABS。种植模组通体不含金属零件，线材灯具IP65防水。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种植机结构: 模块化设计，相同种植模块或不同种植模块可一层至多层灵活组合，可任意增减层数，上下层无固定搭建顺序，各层可取用任意水箱的营养液。设备支持分层独立清洗，各种植层互不影响。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通信方式：wifi2.4G，ZigBee：IEEE802.15.4。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控制APP：提供多种蔬果、花卉、中草药种植方案，从育苗到采收，手把手指导种植。可远程控制、自动控制、联动控制所有相关物联网设备（灯光、水泵、空调、加湿除湿等）。可设置多种管理模式，一人可以管理多台设备，一台设备也可由多人管理。可以对设备进行分组，支持三层分组：学校、班级、小组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可以自由设置多种联动场景（比如温度高于28℃，开启空调）。 可实现各项数据和设备状态的异常报警功能，并可自定义报警等级（支持APP报警、短信报警、电话报警）。营养液在线调配教程、营养液使用全程指导。在线升级各项种植教程和数据。可以回看往期数据，并可下载以往数据，最多支持3个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植物生长灯：L600mm×（Φ30mm/φ50mm），发光角120°；双层光照系统设计，供4小6大共十根生长灯。定制生长光谱，生长光谱红蓝比例2.0:1-4.0:1，蓝光波峰460nm，红光波峰660nm，连续光谱，无频闪，有效光子密度PPFD≥200umos/m2.s（25cm层间高度）。交流电：220V 。灯具使用环境-10℃-40℃；寿命20000H。防护等级：IP65，防水接线，秒拆安装。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灯具控制模块：输入110V-220V 50Hz，输出：110V-230V，负载：10A。通信方式： ZigBee：IEEE802.15.4，可与其他物联网设备联动控制。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灯座：灯座高度可上下多档调节，灯管免工具简易拆卸即插式快捷安装，每平层有5个灯光安装位，不同功率的灯具可在任一安装位安装。植物生长灯照射角度可调节。同根灯管在灯座上支持水平安装、垂直安装两种方式。可根据种植需要提供高低2种不同功率的灯具（低功率灯具在8～18W、高功率灯在20～30W），高低功率可直接在灯光安装位置互换，灯具数量与功率可形成多种组合形式，支持每平层同种光谱下至少20种不同光强组合，便于学生完成光配方对比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隐藏式水路，上下水管内置于设备立柱。隐藏式电路，灯具电线内置于设备立柱，电线为防水秒接线。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物联网智能控制：支持接入多种传感设备，如温度、湿度、光照、CO2、营养液EC、pH、DO等传感器，实时监测相关环境参数。每层补光灯、水循环、潮汐水位设定、摄像头、对流小风扇开启等均可支持主流操作系统（如Android、iOS、HarmonyOS等）的手机APP进行远程控制。提供数据记录和分析功能，支持实验数据的收集、存储和导出，辅助教学和研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营养液供液模式：采用机械增氧，瀑布式供液，让营养液与空气充分搅拌，含氧量≥6mg/kg。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物联网多路灌溉系统：含水泵、物联网水泵控制模块。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水泵：（35±2）*（35±2）*（100±10）mm；额定电压DC12V，额定功率8-12W，出水口规格φ8mm。最大扬程≥4m，最大流量≥400L/h。进水口带过滤棉、静音水泵、缓启动、耐磨氧化皓轴承、带减震硅胶套。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多路物联网控制模块：三路控制，实现物联网控制功能，APP控制，可自定义水循环开启模式。具有识别水箱功能、缺水报警功能、水泵过滤棉堵塞报警功能、缺水自动切断电源功能。支持分级报警，使用者可自定义报警风险等级，支持APP、短信、电话三种报警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可独立控制供液循环，每台设备可提供1-4个水箱（数量根据种植需要选择），可同时支持3种不同营养液循环分层独立供液。一机多用，同时可开展潮汐、浅液流NFT、深液流DFT等不同灌溉模式。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 一键执行功能:可通过APP设置单层、多层、单台、多台、整个种植间的灯具、水泵、风扇、杀菌灯等所需单个或多个设备的一键开启或关闭。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 水箱：600*400*340mm ，水箱与种植机无接触组合，无水管连接，可直接抽出水箱清洗，无需拆解种植机。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物联网对流风扇套装（通用型）</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#1.用于种植机育苗叶菜模块、种植机果菜模块、种植机攀爬模块等模块微环境循环使用，含风扇、电源线、快接线，装配位置：种植机每层灯座下方。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物联网LED紫外线杀菌灯1</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#1.用于水箱营养液杀菌，含1灯，一分二线、一分三线、控制模块。LED、UVC紫外光灯珠，无汞，低压、IP68防水，安全高效，寿命&gt;5000h。功率：5w，电压：12-24v;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#2.辐射功率：60mw;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#3.3535UVA+UVC;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#4.波长：UVA395-405nm。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物联网LED紫外线杀菌灯2</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#1.用于水箱营养液杀菌，含3灯，一分二线、一分三线、控制模块。LED、UVC紫外光灯珠，无汞，低压、IP68防水，安全高效，寿命&gt;5000h。功率：5w，电压：12-24v;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#2.辐射功率：60mw;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#3.3535UVA+UVC;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#4.波长：UVA395-405nm。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种植层植株高度标尺（YC）</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#1.用于叶菜种植层植物植株高度测量，防水型。</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种植机电源防水套件（墙/地）</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#1.快接三通、3位防水快接排插（带3USB），输入：220V、10A、50Hz，线径1.5mm2。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物联网RO水制水系统</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#1.活性炭+pp棉+反渗透膜三级过滤（定期更换过滤），出水为RO水（pH=7，EC=0，TDS=0），最大流量60L/H，带物联网自动补水;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#2.AC220V/50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，49w，电源配置：24V4A，进水压力0.1-0.4Mp;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#3.输入电压：220V50Hz，输出220V，最大负载10A;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#4.控制模块：实现物联网控制功能，APP控制。可以与物联网液位检测仪器联动控制，可以与水泵联动控制，可以单独设置补水计划;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#5.通信方式：ZigBee：IEEE802.15.4。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RO水制水系统过滤耗材补充件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#1.含备用滤芯（炭+棉）两套，备用RO膜一个。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物联网RO水储水系统（定制）（150L）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#1.订制,可用来存RO水，也可以当工作液水箱。含定制水箱、溢水保护快接头、内外出水快接头、底部排水口、盖子（打孔）等配件；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#2.150L立式（550*450*650mm），含开孔费，改装费。一般要三个，出水，溢水保护、底部排水口。</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物联网RO水灌溉系统（定制）(15米）</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#1.用于RO水灌溉，由储水系统给工作液水箱或其他需使用RO水的情况供水，含大流量水泵、物联网插座、15米食品级硅胶水管、水管阀门，可在APP上操作控制。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底吸式大流量水泵</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#1.24V，扬程4.0m，功率20W，流量2200L/h，用于种植机工作液水箱排水，移动使用。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物联网网关</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#1.支持有线、</w:t>
            </w:r>
            <w:r>
              <w:rPr>
                <w:rFonts w:hint="eastAsia" w:ascii="宋体" w:hAnsi="宋体" w:cs="宋体"/>
                <w:i w:val="0"/>
                <w:iCs w:val="0"/>
                <w:color w:val="000000"/>
                <w:sz w:val="21"/>
                <w:szCs w:val="21"/>
                <w:u w:val="none"/>
                <w:lang w:val="en-US" w:eastAsia="zh-CN" w:bidi="ar"/>
              </w:rPr>
              <w:t xml:space="preserve">无线连接</w:t>
            </w:r>
            <w:r>
              <w:rPr>
                <w:rFonts w:hint="eastAsia" w:ascii="宋体" w:hAnsi="宋体" w:eastAsia="宋体" w:cs="宋体"/>
                <w:i w:val="0"/>
                <w:iCs w:val="0"/>
                <w:color w:val="000000"/>
                <w:sz w:val="21"/>
                <w:szCs w:val="21"/>
                <w:u w:val="none"/>
                <w:lang w:val="en-US" w:eastAsia="zh-CN" w:bidi="ar"/>
              </w:rPr>
              <w:t xml:space="preserve">，输入5V，ZigBee协议，可连接128路设备，断网不影响设备间的联动控制。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物联网环境监测模块（温度、湿度、CO</w:t>
            </w:r>
            <w:r>
              <w:rPr>
                <w:rFonts w:hint="eastAsia" w:ascii="宋体" w:hAnsi="宋体" w:eastAsia="宋体" w:cs="宋体"/>
                <w:i w:val="0"/>
                <w:iCs w:val="0"/>
                <w:color w:val="000000"/>
                <w:sz w:val="21"/>
                <w:szCs w:val="21"/>
                <w:u w:val="none"/>
                <w:vertAlign w:val="sub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#1.尺寸：16*9*4cm；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#2.双通道，NDIR红外传感器，LCD数字显示，自动校准，使用温度：0-70℃；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#3.CO2测量范围：0-5000PPM，分辨率：1PPM，精度50PPM±5%；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#4.测量温度范围：0-50℃，分辨率：0.1℃，精度±0.5℃；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#5.湿度：0-99%，分辨率 1%，精度±5%；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#6.电池容量：800mAh；输入电压：DC 5v；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#7.可与其他物联网设备联动控制，数据可按日、月、年方式查看，历史数据支持导出。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壁挂式收纳盒</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#1.双层百叶—木塑板，壁挂式插排插座遮挡置物架。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育苗盘（子母盘）</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#1.用于种子萌发与育苗，食品级PP材质；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#2.育苗盘应符合GB 31604.49-2023、GB 9685-2016检测依据，检测项至少包含：感官、浸泡液、脱色试验、高锰酸钾消耗量、重金属(以铅计)；重金属特定迁移量 (钡、钴、铜、铁、锂、锰、锌)。</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种植海绵</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#1.育苗一体化专用。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种植杯</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#1.用于种植孔植物种植。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种植杯盖</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#1.用于遮盖种植杯。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塑料量杯（5000mL）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塑料量杯（2000mL）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量筒（500ml)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量筒（250ml)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量筒（100ml)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量筒（25ml)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营养液商用装（10L/桶）-叶菜类AB</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#1.叶菜花卉类AB液，10L/桶，2桶/组，适用于叶菜类、花卉类植物的生长。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营养液商用装（10L/桶）-果菜类AB</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#1.果菜类AB液，10L/桶，2桶/组，适用于果菜类、茄科类植物的生长。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营养液商用装（10L/桶）-瓜类AB</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#1.瓜类AB，10L/桶，2桶/组，适用于瓜类植物的生长。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精品优种套装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盆栽红番茄50粒、水果黄甜椒20粒、瀑布番茄50粒、水果黄瓜50粒、红苋菜10g、羽衣甘蓝100粒、GCGD-紫叶生菜（丸粒化）500粒、GCGD-奶油生菜（丸粒化）500粒、GCGD-绿叶生菜（丸粒化）500粒、GCGD-罗马生菜（丸粒化）500粒、GCGD-樱桃萝卜50g、JKGD-水果零食甜椒（黄）12粒、JKGD-串收小番茄（红）12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安装工具包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#1.含牵引电线安装头、含橡胶榔头一把、扳手一个、mini水平仪一个、led灯堵头10个，电线固定卡中号特大号各一包（每包20个）。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清洗工具包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#1.迷你拖把一个、清洗刮板一个、刷子大小各一个、抹布1块。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修枝专用剪刀</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#1.用于种植区植物修剪。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播种镊子</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#1.用于播种与幼苗整苗。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五合一多功能检测笔</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#1.功能：TDS.PH.EC.SALT.温度；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#2.量程：TDS 0-9990ppm；EC 0-19990us/cm；PH 0.00-14.00ph；SALT 0.01%-25.00%,0-10000ppm,10.1-200.0ppt；温度0-60℃；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#3.尺寸：21*8*5cm；重量：164g(配校准液三袋)。</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EC校准液</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#1.EC值标定校正缓冲液，718,50ml。</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PH校准液三瓶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#1.pH标定校正缓冲液，4.00/6.86/9.18各50ml。</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8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室外种植园地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菠萝塔水培架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afterAutospacing="0"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#1.采用ABS材料一次性注塑成型厚度≥2mm无土立体栽培育苗；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#2.一共十层，每层有八个孔位，每层可种植八个植物；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#3.底部水箱容水量≥30L;内部自带喷水管，接水槽，水泵；</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AC2-02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错层立体水培架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#1.采用不锈钢材质焊接框架规格：≥400cm*200cm，主材厚度≥2mm；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#2.一共三层，每层有十二个孔位，每层可种植十二个植物；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#3.底部用膨胀螺丝固定;内部自带喷水管，接水槽，水泵；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▲4.错层立体水培架通过抗老化检测和耐腐蚀性检测，测试结果合格；通过稳定性测试，最大承重≥400KG。</w:t>
            </w:r>
            <w:r>
              <w:rPr>
                <w:rFonts w:hint="eastAsia" w:ascii="宋体" w:hAnsi="宋体" w:eastAsia="宋体" w:cs="宋体"/>
                <w:b/>
                <w:bCs/>
                <w:i w:val="0"/>
                <w:iCs w:val="0"/>
                <w:color w:val="000000"/>
                <w:sz w:val="21"/>
                <w:szCs w:val="21"/>
                <w:u w:val="none"/>
                <w:lang w:val="en-US" w:eastAsia="zh-CN" w:bidi="ar"/>
              </w:rPr>
              <w:t xml:space="preserve">（提供具有CMA认证标识的第三方检测机构出具的检测报告原件扫描件或产品白皮书或官网截图）</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AC2-03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矩阵立体架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#1.采用不锈钢材质焊接框架规格：≥600cm*300cm*120cm主材厚度≥2mm；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#2.一共五层，每层有二十个孔位，每层可种植二十个植物；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#3.底部用膨胀螺丝固定;内部自带喷水管，接水槽，水泵；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▲4.矩阵立体架通过抗老化检测和耐腐蚀性检测，测试结果合格；通过稳定性测试，最大承重≥600KG。</w:t>
            </w:r>
            <w:r>
              <w:rPr>
                <w:rFonts w:hint="eastAsia" w:ascii="宋体" w:hAnsi="宋体" w:eastAsia="宋体" w:cs="宋体"/>
                <w:b/>
                <w:bCs/>
                <w:i w:val="0"/>
                <w:iCs w:val="0"/>
                <w:color w:val="000000"/>
                <w:sz w:val="21"/>
                <w:szCs w:val="21"/>
                <w:u w:val="none"/>
                <w:lang w:val="en-US" w:eastAsia="zh-CN" w:bidi="ar"/>
              </w:rPr>
              <w:t xml:space="preserve">（提供具有CMA认证标识的第三方检测机构出具的检测报告原件扫描件或产品白皮书或官网截图）</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30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365"/>
        <w:gridCol w:w="6460"/>
        <w:gridCol w:w="765"/>
        <w:gridCol w:w="742"/>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05"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AD-4K精品录播系统</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97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4K录播一体机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录播主机采用一体化嵌入式硬件设计架构，内置不低于国产化八核处理器、Linux系统、≥8GB内存，≥2T硬盘，主机具有≥6英寸触控液晶屏幕，可显示设备运行状态等信息，可通过触控方式设置设备基础信息。满足录制、直播、点播、互动、导播管理、存储、切换、视音频编码、语音转写、虚拟抠像、行为分析等功能，支持远程互动教学，实现远程互动网络课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#2.视频输入接口：支持≥4路HDBaseT接口，HDBaseT技术实现远距离4K超高清信号无压缩、无延时传输，一根网线即可完成供电、控制、传输，≥4路HDMI接口。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#3.视频输出接口：支持≥4路本地视频输出接口，接口类型为≥2路HDBaseT接口，≥2路HDMI接口。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#4.音频接口：为保证教室内音频采集，支持≥2路本地音频信号采集接口；支持≥3路音频输出接口，其中至少2路凤凰端子输出接口，1路3.5mm输出接口。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#5.支持≥2路100/1000Mbps自适应网口。支持双网卡，支持局域网（网络摄像机等设备的接入）和互联网彼此隔离，独立工作，互不影响。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#6.支持≥2路USB 3.0接口，支持连接鼠标、键盘进行导播控制以及主机连接U盘进行课程视频的录制、下载；支持≥1路TYPE-C接口。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#7.具有≥5路控制口，支持至少4路RS232接口和1路RS485接口，可支持对接第三方中控、物联等可编程软件，实现对设备的管控。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#8.视频编码：支持H.264和H.265两种视频编码协议，实现更高效率和更</w:t>
            </w:r>
            <w:r>
              <w:rPr>
                <w:rFonts w:hint="eastAsia" w:ascii="宋体" w:hAnsi="宋体" w:cs="宋体"/>
                <w:i w:val="0"/>
                <w:iCs w:val="0"/>
                <w:color w:val="000000"/>
                <w:sz w:val="21"/>
                <w:szCs w:val="21"/>
                <w:u w:val="none"/>
                <w:lang w:val="en-US" w:eastAsia="zh-CN" w:bidi="ar"/>
              </w:rPr>
              <w:t xml:space="preserve">高质量</w:t>
            </w:r>
            <w:r>
              <w:rPr>
                <w:rFonts w:hint="eastAsia" w:ascii="宋体" w:hAnsi="宋体" w:eastAsia="宋体" w:cs="宋体"/>
                <w:i w:val="0"/>
                <w:iCs w:val="0"/>
                <w:color w:val="000000"/>
                <w:sz w:val="21"/>
                <w:szCs w:val="21"/>
                <w:u w:val="none"/>
                <w:lang w:val="en-US" w:eastAsia="zh-CN" w:bidi="ar"/>
              </w:rPr>
              <w:t xml:space="preserve">的编码技术，支持4K分辨率（3840*2160）视频的编码和录制。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#9.要求支持IPV4、IPV6链路地址、IPV6外网地址三个网络地址配置，支持启用DHCP自动获取IP地址。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7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4K高清录播系统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#1.要求系统支持账号密码登录。录制模式支持电影模式、资源模式两种，能同时支持1路电影模式加≥6路资源备份，可同时录制合成画面、教师全景、教师特写、学生全景、学生特写、板书画面、电脑画面；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#2.要求录制格式支持MP4/TS/FLV，录制分辨率支持3840*2160、1920*1080、1280*720、720*480等，支持录制帧率设定，可选择25fps/30fps。码流支持1000-40000kbps可选。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#3.支持实时显示录播主机CPU的使用率，硬盘使用情况，≥6路预监画面；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#4.导播模式支持视频预览、直播输出监视、视频切换等功能，其中鼠标拖动视频切换时支持导播小画面定位跟随；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添加字幕，支持包括系统时间在内的不少于九种预设字幕的设置，其中系统时间支持自动校准。可直接通过拖拽实现自定义字幕显示位置。支持设置≥9种字体大小、≥8种字体颜色。系统界面自带虚拟软键盘，无需外接USB键盘，支持多种格式的字幕，可输入中文、英文、数字、特殊符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#6.支持导播模式设置：支持手动、半自动、全自动模式，支持查看软件版本，设备型号，硬件版本，设备编号；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提供多种画面布局模式，支持视频画面叠加与组合，包括单画面、双分屏画面、三分屏画面、四分屏画面显示，可直接通过鼠标触控拖动通道画面实现多分屏布局显示画面的替换，替换时支持导播小画面定位跟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#8.支持≥4种片头和≥4种片尾的添加，可以设置插入片头片尾的时间，支持jpg、png格式；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#9.台标支持≥4个固定位置，分别为左上、右上、左下、右下，支持手动拖拽移动台标，实现界面任意位置的台标设置。支持设定图片台标，支持jpg、png格式；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#10.支持上滑、下滑、左滑、右滑等多种切换特效，支持自定义选择≥8种特效切换速度；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#11.系统支持摄像机云台控制，可以对摄像机进行变焦、上下左右位置调整以及≥8个预置位的设置，整个过程支持鼠标操作；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#12.系统可以进行音量设置，可以采用鼠标拖动方式控制设备输入输出的音量大小；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#13.系统支持录制倒计时和循环记录功能，在硬盘存储空间为0时，仍可进行录制，将最早录制的视频文件删除，支持录制到U盘。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#14.所录制的视频文件既可存储在本地硬盘，也支持通过FTP上传至平台，同时支持用户随时通过录播主机点播回放视频，并可使用移动磁盘或硬盘拷贝下载；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#15.系统支持录制单个文件和限时自动分割录制功能，可选择多种自动分割时长；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#16.支持虚拟抠像功能，支持≥5路摄像机信号的虚拟抠像处理，支持手动调整前景、人像大小以及位置，抠像功能支持噪点清除、去黑边、溢色清除、前景强化、边缘平滑、饱和度压缩、黑色加强等功能；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#17.内置微课制作功能，支持不少于前景、人像、背景3层场景叠加，叠加的场景支持虚拟抠像后的人像、PPT、视频、图片等类型。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#18.支持虚拟抠像后合成的画面实现和远端进行音视频互动；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不依赖网络、外置设备即可实现行为分析、实时字幕的语音转写和热词提取。内置的行为分析系统，支持对教室人数、举手人数、站立人数、背身人数、趴下人数、低头人数、扭头人数的实时统计，并实时汇总学生的参与度、活跃度和抬头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内置互动系统，支持标准SIP和H.323互动协议，支持互动列表，列表中可以显示所有与会者的信息；支持互动画面布局的显示，布局支持单分屏，双分屏，四分屏显示。互动界面支持双流、一键静音、全屏、导播设置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#21.进入互动系统时可支持查看永久课历史记录，可输入房间号快速加入远程互动，并显示对应的课程信息，包括时长、主讲人、房间名称、房间号、丢包率、网络延时等；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#22.创建房间时支持对主题、主讲人、开始日期、开始时间和结束时间、验证方式的设置，其中验证方式支持公开和加密的选择。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#23.支持对每个互动房间自动分配短号，可以通过短号直接实现多个设备间的互动，支持房间加密；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智能分析主机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#1.要求主机采用标准≤19英寸机架式安装，前面板采用单键式极简设计，简约实用；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#2.要求主机采用不大于DC12V安全电压供电，低功耗无风扇设计,工作噪音≤21db(A)。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#3.要求采用嵌入式架构，内置AIoT智能芯片，支持AI图像跟踪技术，能够达到5TOPS标准或以上的算力。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#4.集教师跟踪、学生定位、板书定位、学生巡视等导播切换策略于一体；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#5.要求具备≥4路USB接口，支持接入I/O设备，要求具备≥1路HDMI OUT；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#6.要求具备≥1路LAN网络接口，支持网络传输高清视频，对云台摄像机、录播设备的控制采用网络通讯；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#7.整机采用耐腐蚀技术处理，需通过符合标准的盐雾试验，试验时间不少于60小时。要求产品通过GB/T 2423.17-2008盐雾实验；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#8.为避免运输过程中出现碰撞导致设备损坏或内部松动，要求产品通过GB/T 2423.5-2019冲击实验。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图像跟踪系统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#1.要求支持智能图像分析，结合具体的场景能够实现多个活动过程的跟踪识别，并对现场视频图像进行分析，实现常态化教学下的老师、学生多人跟踪识别；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#2.可快速设定教学有效区域的，光线、场景完全自适应，无论人的正面和侧面都会被准确识别，并能够通过后台查看到多人识别效果。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#3.要求具备身高自适应功能，无论老师、学生挥手，左右晃动，前后仰俯晃动等都不会被误判；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#4.要求具备较强的抗干扰能力，采用领先的防抖动特征跟踪算法，图像识别系统不受外在环境影响；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#5.要求系统结构设计合理，设置简单，可以实现全自动跟踪识别；支持实时定位，可以自动识别目标位置、实时控制摄像头精确定位，实现特写拍摄；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#6.要求系统支持web界面访问，支持预览视频分析状态，可远程操控图像跟踪系统；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#7.要求系统支持摄像机自动跟踪，摄像机自动定位学生起立和教师移动，教师走进学生区域时，实时切换成教室全景画面；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#8.要求系统支持区域聚焦功能，可通过浏览器在监视画面框选出聚焦区域，以该区域作为聚焦参考区域。系统对讲台区域监视画面框选时，聚焦区域包括教师跟踪、黑板跟踪等，确保智能跟踪分析的准确性；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#9.要求系统支持焦距守望功能，可通过浏览器对监视画面设置守望点，可同时设置不少于4个守望点相连实现智能跟踪；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#10.要求系统具备跟踪拍摄和切换拍摄两种模式，两种模式之间支持一键切换；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#11.要求系统智能识别教师身体朝向。当教师面朝学生时，智能切换至教师特写；当教师面向黑板时，智能切换至板书特写。板书特写采用伴随跟踪拍摄方式；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#12.要求支持手势识别功能，可一键开启此功能。教师可以通过手势控制学生摄像机的拍摄。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#13.要求系统支持TCP、UDP两种传输协议，可以同时获取≥4路IP视频流进行智能图像分析，可对教师全景、板书全景、学生全景、学生巡视等景位进行设置；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#14.要求支持两种跟踪模式：伴随式模式、“特写”与“全景”切换跟踪模式；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#15.具有“模糊防抖”功能，避免人员小幅度活动时引起的摄像机画面抖动现象；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#16.要求支持学生起立跟踪功能，支持当学生起立时学生特写摄像机跟踪拍摄，支持多个学生起立切换为学生全景拍摄；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#17.要求系统支持切换规则定制，可以精确调整切换时间，设置云台速度，速度系数不少于0～99可调；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#18.要求系统可设置变焦速度，速度系数不少于1～7可调,实现焦距拉伸时间的调节；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#19.要求系统可设置跟踪灵敏度，灵敏度系数不少于0～9000可调。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跟踪半球</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#1.传感器类型≥1/2.8英寸CMOS；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#2.像素≥ 200万，最大分辨率≥1920×1080；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最低照度：0.01Lux(彩色模式);0.001Lux(黑白模式);0Lux(补光灯开启)；最大补光距离：50m（红外）；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镜头类型：手动变焦；镜头焦距2.8mm~12mm；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视频压缩标准：H.265；H.264；H.264B；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#6、音频输入：≥1路（RCA头）；音频输出：≥1路（RCA头）；供电方式：DC12V/POE；防护等级：≥IP67。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4K超高清摄像机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#1.采用≥1/2.5 英寸CMOS，≥850万像素，需支持4K(3840×2160)分辨率，兼容1080P、720P等多种分辨率，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#2.镜头:f=4.4mm~52.8mm，F1.8~F2.6，光学变焦≥12倍，数字变焦≥16倍；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#3.需支持水平翻转、垂直翻转，水平视场角：不小于71°~8.2°；垂直视场角：不小于42.7°~4.5°;水平转动范围：不小于±170°，垂直转动范围：不小于-30°~30°；水平转动速度范围：不小于 1.7° ~76°/s，垂直速度范围：不小于0.5° ~ 15°/s；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#4.支持不少于2D、3D数字降噪，图像信噪比≥55dB；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#5.音频接口：≥1路Line in/Mic in,3.5mm音频接口，需支持 AAC 编码格式，音频采样率≥48KHz；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#6.视频接口：≥1路HDMI out接口；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#7.控制接口：≥1路RS232 in,≥1路RS232 out，≥1路RS485，需支持VISCA/Pelco-D/Pelco-P协议；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#8.网络接口：≥1路RJ45，10M/100M/1000M自适应口，支持POE；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#9.至少支持TCP/IP、HTTP、RTSP、RTMP/RTMPS、Onvif、DHCP、组播等网络协议等；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#10.视频制式需支持50Hz/60Hz，编码等级可设置main profile/high profile，视频编码协议至少支持 H.264/H.265/MJPEG等；帧率支持1~30fps；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#11.需支持≥1路HDbaseT，需集视频、音频、控制及供电一线传输，支持传输4K视频，传输距离至少100 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#12.至少支持HDMI、网络、HDBaseT等输出方式，实现4K视频的同步输出。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#13.摄像机配合录播主机可支持人物动作分析，至少识别举手、站立、背身、趴下、低头、扭头等人物动作分析。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指向性话筒</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#1.换能原理：电容式 ；声学类型：压强压差组合 ；指向性：心型单方向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#2.灵敏度：-38dB±3dB 1v/pa 1Khz 2V/2.2KΩ ；频率响应：20—18000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#3.最大声压级：≥120 dB(谐波失真不超过1%) ；工作电压：≤48V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数字音频矩阵</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#1.信号处理：要求主机采用≥4核高速DSP处理芯片，64bit处理内核，主频≥1GHz，信号处理延时≦8ms；支持48KHz采样率；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#2.音频输入/输出：≥16路音频通道输入，≥16路音频通道输出；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#3.麦克风输入：≥8路48V幻象供电的麦克风输入，幻象供电可软件开关；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#4.模拟音频输入：≥6路差分信号输入；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#5.模拟音频输出：≥10路差分信号输出；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#6.增益调节：支持麦克风ADC增益0到35dB可调；支持DAC输出增益0到127等级可调；支持噪声抑制有0到18等级可调，混响抑制0到4级可调，扩声还原度0到10级可调；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#7.回声消除（AEC）：回音消除尾音长度：≥512ms，回声消除幅度：≥60dB, AEC有≥16等级可调，AEC延迟值4-255ms；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#8.反馈抑制（AFC）：反馈抑制效果器支持控制开关，并且支持≥16段自适应频率滤波器；反馈抑制频率可手动调整；反馈抑制效果器可有效提升传声增益幅度：≥15dB；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#9.自动增益控制（AGC）：增益控制幅度-24dB到24dB可调，并可开关自动增益控制功能；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#10.AI智能降噪（ANS）：内置AI智能降噪算法，有效降低和滤除教室内常见稳态噪声，同时还可有效降低和滤除教室内瞬态噪声，最大噪声抑制幅度≥36dB；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#11.设备调音：主机软件可根据现场需求，分别支持反馈抑制调音、手持麦扩声调音和AEC调音功能；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一键调音：设备机身和调试软件均支持一键AI自适应声场调音。调音时，主机操作音箱自行发出调试声音，并在参数调试完成后自行结束调试。调试后，观察主机软件，可正确显示房间内吊麦及音箱数量，并明确显示调音成功或调音失败。</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#1.一拖二U段无线麦克风，至少一手持一腰包麦克。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#1.支持≥2组音源输入，≥2路话筒输入，支持≥1组前置录音输出及A、B组功率输出；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#2.设备应具有设置反馈、混响功能，支持独立调节话筒、线路的音量；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#3.应具有话筒中控接口，话筒接口需支持6V幻像直流电源；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#4.额定功率：不低于2×60W/8Ω 立体声；频率响应：不低于20Hz-20KHz +1/-3dB ；失真度：≤0.5%；信噪比（话筒关闭、音调平直）：≥80dB；额定电源电压：交流220V /50Hz。</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#1.额定/峰值功率：≥60W/120W；额定阻抗：≥8Ω；特性灵敏度：≥88dB /w/m ；连续声压级：≥113dB；最大声压级：≥120dB。</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3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智慧讲桌</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#1.讲桌需采用至少1.2mm冷轧钢板桌体，整体外观流线型设计，具备防火特性，正面中部受到170N的冲击力时不会倾倒；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#2.桌面需采用抗倍特板材质，具备防水、耐撞击性、耐磨、防火、耐烟灼、防静电，稳定性强、平整又不易变形、无毒无害、绿色环保等特性；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#3.讲桌尺寸：长度≥1200mm、宽度≥650mm、高度≥1020mm，根据人体力学设计，讲台桌面高度合适老师放置教学用品，兼顾站立教学或者坐着操作电脑；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#4.桌面内置≥23英寸电容触控屏，并支持至少10点同时触摸；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#5.电容触控屏具备单独的开关按键，显示屏接口类型为VGA，HDMI，屏幕分辨率支持≥1920×1080像素，屏幕融合在讲台中，无突出边角，无法在没有工具的情况下拆除；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#6.电容触控屏支持同步显示并能操控交互智能平板的画面，与桌面呈至少25°角，以最佳视角显示教学内容，教师正面授课，录像效果好，提高教学效率；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#7.讲桌桌面内置弹射式接口面板，支持≥1个HDMI接口、≥1个VGA接口、≥1个USB口、≥1个网络接口、≥1个音频接口等，不使用时，可按下与桌面平齐，避免受到撞击，支持笔记本电脑接入；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#8.支持外接PC电脑，可以将PC电脑内容显示在主屏上，支持≥1路HDMI OUT输出，可外接投影、显示器等多媒体设备；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#9.讲桌柜体左侧预留电脑主机观察窗口，无需打开柜体的情况下也能正常开关电脑主机；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#10.讲台具有≥2个220V五口电源接口，方便老师接入笔记本电脑等设备；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讲桌需具有键盘抽屉，可放置黑板擦、书写笔、键盘和鼠标等，抽屉内预留≥4路USB快速充电接口，即使讲桌不开机，依然可以持续充电，可连接键盘鼠标使用,方便教师操作，讲桌桌面留有足够空间放置笔记本、教案等物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#12.柜体下方设置有19英寸设备安装机柜，高度≥10U；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#13.要求柜体下方预留多处散热孔，可以有效保证讲桌内设备的热量及时散出；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#14.要求讲桌支持安装地脚，选配增高底座，预留增高底座安装孔位。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学生课桌</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#1.长1500*宽750*高800mm；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#2.桌面材料:25mm高密复合材料，具有、防油、防水、防腐蚀性能；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#3.桌架材料：桌架均采用1.6mm优质冷轧钢c型折弯焊接而成，加宽桌腿80*40mm,表面喷塑具有防锈、防水等；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#4.抽屉材料：抽屉面板双层1.0mm，其余均为正1.0mm裸板，喷塑后1.2mm，表面经过打磨、磷化、喷塑、高温烘烤而成。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学生课椅</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#1.尺寸：约0.86*0.6*0.46；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#2.椅背：采用新款尼龙透气网背，透气性强，弹力好；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#3.座垫：采用高密度、慢回弹的阻燃</w:t>
            </w:r>
            <w:r>
              <w:rPr>
                <w:rFonts w:hint="eastAsia" w:ascii="宋体" w:hAnsi="宋体" w:cs="宋体"/>
                <w:i w:val="0"/>
                <w:iCs w:val="0"/>
                <w:color w:val="000000"/>
                <w:sz w:val="21"/>
                <w:szCs w:val="21"/>
                <w:u w:val="none"/>
                <w:lang w:val="en-US" w:eastAsia="zh-CN" w:bidi="ar"/>
              </w:rPr>
              <w:t xml:space="preserve">海绵</w:t>
            </w:r>
            <w:r>
              <w:rPr>
                <w:rFonts w:hint="eastAsia" w:ascii="宋体" w:hAnsi="宋体" w:eastAsia="宋体" w:cs="宋体"/>
                <w:i w:val="0"/>
                <w:iCs w:val="0"/>
                <w:color w:val="000000"/>
                <w:sz w:val="21"/>
                <w:szCs w:val="21"/>
                <w:u w:val="none"/>
                <w:lang w:val="en-US" w:eastAsia="zh-CN" w:bidi="ar"/>
              </w:rPr>
              <w:t xml:space="preserve">，燃烧性能HF-1级，拉伸强度≥100KPa,表观密度≥35kg/m³，回弹率≥55%，撕裂强度≥2.5N/cm；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#4.椅面：采用不助燃布料，具有防污，防尘，易清洁等功能；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#5.塑料背框：采用PP</w:t>
            </w:r>
            <w:r>
              <w:rPr>
                <w:rFonts w:hint="eastAsia" w:ascii="宋体" w:hAnsi="宋体" w:cs="宋体"/>
                <w:i w:val="0"/>
                <w:iCs w:val="0"/>
                <w:color w:val="000000"/>
                <w:sz w:val="21"/>
                <w:szCs w:val="21"/>
                <w:u w:val="none"/>
                <w:lang w:val="en-US" w:eastAsia="zh-CN" w:bidi="ar"/>
              </w:rPr>
              <w:t xml:space="preserve">塑料膜</w:t>
            </w:r>
            <w:r>
              <w:rPr>
                <w:rFonts w:hint="eastAsia" w:ascii="宋体" w:hAnsi="宋体" w:eastAsia="宋体" w:cs="宋体"/>
                <w:i w:val="0"/>
                <w:iCs w:val="0"/>
                <w:color w:val="000000"/>
                <w:sz w:val="21"/>
                <w:szCs w:val="21"/>
                <w:u w:val="none"/>
                <w:lang w:val="en-US" w:eastAsia="zh-CN" w:bidi="ar"/>
              </w:rPr>
              <w:t xml:space="preserve">出样，环保，不易脆裂，舒适，安全可靠。</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智能中控屏</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#1.采用≥10吋触控屏幕，分辨率不低于1920×1080；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#2.不少于1个RS-232接口，1个USB接口，1个网络接口，1个HDMI接口；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#3.需支持控制录播系统，至少包括录制、暂停、停止、开启互动等功能。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10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观摩间</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导播键盘</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#1.设备需支持网络控制方式，具有独立的IP地址；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#2.需采用变速四维摇杆进行控制，扭动摇杆可控制云台摄像机转动，镜头变焦放大缩小；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#3.预置位要求对应录播设备的预置位功能，可调用录播设备的预置位，也可通过键盘设置预置位，先点击预置按钮，在通过右上角摇杆，选择合适的画面，再点击预置位数字即可设置成功；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#4.需采用自主设计的旋钮功能，具有无极调速功能，可实现云台速度、变倍速度调节；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#5.需支持IE浏览器添加前端设备；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#6.需支持添加至少6路摄像机ip\端口号；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#7.预置位按键≥9，每路摄像机至少添加9个预置位。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声纹识别反馈抑制器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#1.输入阻抗20KΩ，输出阻抗100Ω；输入范围：＋6dB-180dB；最大功耗：≤50 VA。</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时序电源控制器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#1.整机最大电流：≥15A；单路最大电流：≥13A；继电器最大电流：≥30A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#2.输出路数：≥8路受控，2路直通；USB输出：不小于5V1A；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#3.显示方式：≥2.4吋显示屏；通讯方式：支持RS232、网口；级联数：≥255台；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76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资源管理平台应用系统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#1.平台支持多级部署应用，既可以部署于区域信息中心也可以部署于学校机房。以满足区域教育资源的共建共享和校本资源建设与管理。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#2.采用B/S架构设计，支持IE、360等主流浏览器访问，方便用户进行使用管理。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#3.首页以模块的方式展示：新闻公告、直播活动、课程资源、教研活动等子模块，支持通过跳转入口快速进入相关功能模块；支持后台配置相应模块的开启或关闭，支持自定义平台名称、平台LOGO。</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#4.首页具有快速导航栏，方便用户快速跳转至相关功能模块，支持自定义导航栏名称、顺序等，支持创建二级导航菜单。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#5.公告发布与管理：首页新闻公告栏可直观展示学校通知、直播活动、行政公告、教育新闻等信息，通过滚动播报的方式支持预编辑公告内容和定时发送功能，支持自定义公告类型，支持标题检索。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#6.用户管理：平台支持通过手机号、微信扫码进行注册，注册完成后可以通过账号密码、微信扫码和手机验证码等方式进行登录。支持根据不同的角色分配相应权限。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#7.设备管理：支持把录播设备接入平台，实现自动转码、视频存储，并具备直播和点播功能。支持录播设备管理功能，可远程预览录播画面、设备信息查看、设备状态监测、数量统计等。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#8.自动转码功能：支持视频下载、上传、编辑、管理。可实现所有主流视频文件格式自动转码，包括asf、mpg、rmvb、mov、rm、avi、3gp、wmv、flv、mp4等，可设置下载及观看权限。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#9.后台管理：支持查看存储空间使用情况，支持课程永久权限开启/关闭，支持个性化设置脚链。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#10.一键置灰：支持平台肤色一键置灰功能，切合特殊纪念日氛围。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#11.强制播放：支持强制设置播放源，用户点击任意视频均强制播放指定视频源，便于学校进行统一播放和管理。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#12.支持个人信息查看，在线修改密码，上传个性化头像。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督导巡课平台应用系统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一、基础功能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#1.系统架构：为保证易用性，应采用业界流行的B/S架构，无需安装客户端，支持IE、360等主流浏览器直接访问使用。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#2.用户管理：支持通过账号密码、微信扫码和手机验证码等方式进行登录，支持查看用户督导/巡课权限，支持重置用户账号密码。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#3.角色管理：支持对所有账号细分化管控，至少支持校外专家、校级督导员、学院督导员、教师等身份访问，同时支持编辑不同角色督导员的巡课范围及相应功能权限。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督导组管理：支持对督导组的建设和管理，方便学校开展教学督导工作，可根据督导需要自由分配督导组长、督导员等；支持对用户（督导员）分群组、分配组内成员的实时巡课权限、督导院系权限用以开展巡课督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#5.评价模板：支持根据课程需求，自定义督导评课指标，</w:t>
            </w:r>
            <w:r>
              <w:rPr>
                <w:rFonts w:hint="eastAsia" w:ascii="宋体" w:hAnsi="宋体" w:cs="宋体"/>
                <w:i w:val="0"/>
                <w:iCs w:val="0"/>
                <w:color w:val="000000"/>
                <w:sz w:val="21"/>
                <w:szCs w:val="21"/>
                <w:u w:val="none"/>
                <w:lang w:val="en-US" w:eastAsia="zh-CN" w:bidi="ar"/>
              </w:rPr>
              <w:t xml:space="preserve">至少</w:t>
            </w:r>
            <w:r>
              <w:rPr>
                <w:rFonts w:hint="eastAsia" w:ascii="宋体" w:hAnsi="宋体" w:eastAsia="宋体" w:cs="宋体"/>
                <w:i w:val="0"/>
                <w:iCs w:val="0"/>
                <w:color w:val="000000"/>
                <w:sz w:val="21"/>
                <w:szCs w:val="21"/>
                <w:u w:val="none"/>
                <w:lang w:val="en-US" w:eastAsia="zh-CN" w:bidi="ar"/>
              </w:rPr>
              <w:t xml:space="preserve">包括教学内容、教学方法、教学态度、教学效果等，并应用至巡课督导环节中；支持多种类型的评价方式（至少包括单选、多选、打分、打星、文字输入等）；支持管理员设置多套督导评课模板，并将不同评课模板赋予不同督导员群组，以开展针对性督导评价；支持多名督导员用同一评课模板对同一名教师开展督导评价、打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#6.督导计划：支持管理员发布督导计划任务，以列表等形式展示各任务的名称、督导人员、发布时间和督导任务的整体进度等，可以直观地呈现出督导任务的相关信息和完成进度。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#7.督导申诉反馈：被评教师可对评价结果进行申诉，相应督导员收到申诉信息后可重新进行评价。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#8.支持按学科指派、按教师指派听评课任务，纳入督导的评课计划，支持督导员自由听课。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#9.实时巡课：支持督导员实时观看教室内的教学过程，进行巡课督导，提供包含但不限于教室巡课、班级巡课、督导组巡课等多种实时巡课模式。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#10.自动</w:t>
            </w:r>
            <w:r>
              <w:rPr>
                <w:rFonts w:hint="eastAsia" w:ascii="宋体" w:hAnsi="宋体" w:cs="宋体"/>
                <w:i w:val="0"/>
                <w:iCs w:val="0"/>
                <w:color w:val="000000"/>
                <w:sz w:val="21"/>
                <w:szCs w:val="21"/>
                <w:u w:val="none"/>
                <w:lang w:val="en-US" w:eastAsia="zh-CN" w:bidi="ar"/>
              </w:rPr>
              <w:t xml:space="preserve">轮播</w:t>
            </w:r>
            <w:r>
              <w:rPr>
                <w:rFonts w:hint="eastAsia" w:ascii="宋体" w:hAnsi="宋体" w:eastAsia="宋体" w:cs="宋体"/>
                <w:i w:val="0"/>
                <w:iCs w:val="0"/>
                <w:color w:val="000000"/>
                <w:sz w:val="21"/>
                <w:szCs w:val="21"/>
                <w:u w:val="none"/>
                <w:lang w:val="en-US" w:eastAsia="zh-CN" w:bidi="ar"/>
              </w:rPr>
              <w:t xml:space="preserve">：支持自动轮播教室画面内容，支持自定义轮播频率，如可设置每隔10s、20s、30s轮播一次。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#11.多画面巡课：巡课时支持至少3种类型的画面分屏模式，用户可自主</w:t>
            </w:r>
            <w:r>
              <w:rPr>
                <w:rFonts w:hint="eastAsia" w:ascii="宋体" w:hAnsi="宋体" w:cs="宋体"/>
                <w:i w:val="0"/>
                <w:iCs w:val="0"/>
                <w:color w:val="000000"/>
                <w:sz w:val="21"/>
                <w:szCs w:val="21"/>
                <w:u w:val="none"/>
                <w:lang w:val="en-US" w:eastAsia="zh-CN" w:bidi="ar"/>
              </w:rPr>
              <w:t xml:space="preserve">选择</w:t>
            </w:r>
            <w:r>
              <w:rPr>
                <w:rFonts w:hint="eastAsia" w:ascii="宋体" w:hAnsi="宋体" w:eastAsia="宋体" w:cs="宋体"/>
                <w:i w:val="0"/>
                <w:iCs w:val="0"/>
                <w:color w:val="000000"/>
                <w:sz w:val="21"/>
                <w:szCs w:val="21"/>
                <w:u w:val="none"/>
                <w:lang w:val="en-US" w:eastAsia="zh-CN" w:bidi="ar"/>
              </w:rPr>
              <w:t xml:space="preserve">1分屏、4分屏、9分屏、16分屏查看教室内的教师画面、学生画面、电脑画面、板书画面等；支持通过鼠标拖动切换主画面；支持进入全屏模式；支持点击教室画面快速跳转至巡课详情界面。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#12.教室巡课：支持通过校区、教学楼的教室分布进行巡课，可查看每个教学楼的总教室数量、通过颜色图标区分设备是否在线，支持预览实时画面和授课信息，授课信息包括：学科、教师、上课时间。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#13.班级巡课：支持通过年级-班级课表中的全部学科进行巡课，可清晰查看每个学科的上课状态（如上课中等），方便督导员进行选择。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#14.督导组巡课：支持通过全校已创建的督导组进行巡课，可清晰查看每个督导组巡课情况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#15.课后巡课：支持督导员针对已录制的课程进行巡课督导，可通过学科进行筛选或进行关键字检索快速定位课程，督导员还可根据学科名称、上课时间、授课教师、班级、评价状态等信息进行有选择的督导。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#16.课堂信息：支持督导员在进行巡课督导时获取课程信息，包含但不限于学科、班级、授课教师、上课时间等信息。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#17.评课计划：支持按上课中/待上课/已下课显示督导计划中指定的听评课任务或在自由听课中加入评课计划的学科或教师在课表中邀请听课的学科，可根据上课时间开始评课或移出计划。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#18.自由听课：支持根据督导组权限范围自由选择所督导院系内的学科进行听评课，可根据上课时间选择加入计划或开始评课或移出计划。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#19.邀请我听：支持教师邀请听课，被邀请人可同意或拒绝，同意后该课节自动加入被邀请教师的评课计划中。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#20.临时评课：支持临时活动录制，当前教室没课的情况下显示【发起评课】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督导评价：提供对整个教学过程的督导评价，督导员可根据督导体系指标进行打分、填写评语等，巡课过程中支持截图拍照，并支持对截图添加文字描述，拍照记录支持编辑和删除。对于实录巡课，还支持在课堂教学互动位置进行视频打点，督导员点击对应的教学互动即可自动跳转到对应视频的位置，所有评价数据均可自动留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#22.评课记录：支持对督导员的督导评课记录进行自动归档，方便督导员进行查看，支持按学期筛选或进行关键字检索；督导足迹详细记录督导学科、授课教师、授课时间、评分结果、评分时间等信息。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#23.评课报告：系统支持自动对督导员的督导评价进行统计分析，并生成对应的课堂教学督导报告，包含但不限于课堂视频、课程班级、授课教师、督导评分、督导评语等信息。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#24.巡视记录：支持查看用户巡视教室、巡视时间、巡视时长。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#25.教案管理：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（1）支持教师按课表对教案资料的上传、修改、删除工作。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案统计：支持对系统中教师的教案资料进行统计功能，如总教案数、教案等级统计（至少包括A、B、C、D等级）、引用次数等。支持教师个人教案数据统计，如总排课数、A级次数、B级次数、C级次数、D级次数，引用次数等，支持按照老师、学期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（3）支持管理人员查询各个教师的教案情况，并给相应的评价，同时对教案栏目分类、修改、删除。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（4）支持对教案的上传时效、修改时效、存储时效进行统一配置。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（5）支持对每个教案进行等级评定，系统默认自带A、B、C、D四个等级，具体量化指标可根据用户需求进行自定义;支持教案评分统计功能。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（6）支持实时督导时对教案进行预览、等级评定等功能。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（7）支持教案集中管理功能，支持教案分类管理、查询、调阅，并支持PPT、PDF、Excel、Word等多种文档格式管理。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#26.数据统计：支持课堂评价统计，详细记录学科评价人、评课人次、评课表数量、评分分布、得分率等，支持生成课堂报告；支持敏感话题课堂统计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二、AI分析设置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#1.兼容对接：配套AI分析终端，实现视频数据分析；同时支持与视频资源管理平台无缝对接，可将数据通过平台进行分析结果数据展示。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#2.多维分析：支持多维度课堂分析数据，包括但不限于“课堂类型”、“学生专注度”、“RT-CH互动指数”、“出勤人数”等维度数据。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#3.支持AI督导预警、提供对课程和教师的督导预警分析，可自定义设置教师迟到/教师早退/中途离岗；学生缺勤/趴桌率/</w:t>
            </w:r>
            <w:r>
              <w:rPr>
                <w:rFonts w:hint="eastAsia" w:ascii="宋体" w:hAnsi="宋体" w:cs="宋体"/>
                <w:i w:val="0"/>
                <w:iCs w:val="0"/>
                <w:color w:val="000000"/>
                <w:sz w:val="21"/>
                <w:szCs w:val="21"/>
                <w:u w:val="none"/>
                <w:lang w:val="en-US" w:eastAsia="zh-CN" w:bidi="ar"/>
              </w:rPr>
              <w:t xml:space="preserve">前排就座</w:t>
            </w:r>
            <w:r>
              <w:rPr>
                <w:rFonts w:hint="eastAsia" w:ascii="宋体" w:hAnsi="宋体" w:eastAsia="宋体" w:cs="宋体"/>
                <w:i w:val="0"/>
                <w:iCs w:val="0"/>
                <w:color w:val="000000"/>
                <w:sz w:val="21"/>
                <w:szCs w:val="21"/>
                <w:u w:val="none"/>
                <w:lang w:val="en-US" w:eastAsia="zh-CN" w:bidi="ar"/>
              </w:rPr>
              <w:t xml:space="preserve">率，敏感词等的触发预警阈值，可设置一般预警、中度预警、严重预警，当某课程中相关行为低于阈值时即被列入预警名单在实时巡课页面和敏感话题课堂中进行显示，可在实时巡课页面进行查看。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展示模型：支持以秒为颗粒度对教师讲授、师生互动、指导学生、教师提问、书写板书等教学行为进行基于AI功能的全自动伴随式分析，以课堂时间为轴线形成课堂教学评估数据，并以图表形式直观展示课堂每个时刻的行为类型和持续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课堂分析：支持以创新型、评价型、分析型、应用型、理解型、记忆型、非思维等类型问题对课堂问题进行AI数据统计，可自动统计课堂中的问题类型和数量。点击详情时间戳中对应的实时AI转写字幕可自动跳转到对应的视频节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课堂报告：支持通过AI分析自动生成课堂报告，帮助教师改善教学方式方法，提升教学质量。包含对课堂教情数据（包括教师提问、语速、关键词、轨迹、S-T分析、互动指数、RT-CH等）、课堂学情数据（包括学生出勤、课堂专注曲线、学生动作表情）等数据的多维度分析结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三、课堂教情分析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#1.教学行为分析：支持“教师讲授”、“指导学生”、“学生展示汇报”、“教师板书”、“师生互动”、“学生讨论”、“生生互动”多种维度的教学行为识别。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#2.支持弗兰德斯教学行为分析法（S-T）：要求支持根据图像识别全自动跟踪数据生成S-T曲线图，帮助用户进行教学技能提升和评估。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#3.RT-CH教学模型：引入RT-CH教学分析模型，系统自动生成矩阵图，并判定授课类型属于对话型、练习型、混合型、讲授型。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#4.师生问答分析：支持对师生课堂过程当中的总提问数以及应答次数进行智能分析与呈现。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#5.教师可查看每节课的课堂实录，可根据不同的教学行为时序进行智能打点切片，形成行为时序图，可自动定位到课堂实录的特定时刻，方便进行快速回顾教学环节。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#6.课堂纪律分析：以班级维度进行班级出勤人数统计，包括应出席人数、迟到人数、早退人数等。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四、课堂学生分析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#1.班级出勤率统计：以班级维度进行班级出勤人数统计，包括应出席人数、实际出席人数等。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#2.学生专注度分析：支持以课堂时间为轴线，对各个时刻学生的抬头率进行分析统计，形成学生观课专注度曲线变化数据统计。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#3.支持学生课堂动作分析，包括趴桌子、举手、站立等肢体语言，可对各类动作进行实时检测。以课堂时间为轴线通过图表形象展示课堂中每个时刻各类动作的学生人数。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#4.支持学生学习行为占比分析，结合图表的形式判断本节课学生对学习内容的平均留存率；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#5.支持学生课堂表现分析，分析呈现学生专注度均值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#6.学生回答情况分析：支持按照肯定性回答、解释性回答、无回答等维度对学生回答情况进行分析，可汇总不同维度的回答次数和所占百分比，并可查看整堂课程中的回答问题情况详细分布。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#7.学生表情分析：支持按照消极、平静、开心、难过、生气、反感、害怕等不同维度对学生的表情进行AI分析，可统计不同维度的人员数量、所占百分比和峰值时间，点击峰值时间可自动跳转到对应的视频节点。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#8.学生动作分析：支持按照趴桌子、举手、站立、回头等不同维度对学生的动作进行AI分析，可统计不同维度的人员数量、所占百分比和峰值时间，点击峰值时间可自动跳转到对应的视频节点。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#9.支持对整节课堂实现学生动作和表情的统计分析，通过图表展示整节课堂每种学生动作和表情的峰值时刻、峰值占比和峰值人数，点击该峰值时刻即跳转到当前时刻查看详细数据。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五、语音智能分析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#1.教师提问情况分析：支持基于课堂语音识别能力进行教师课堂提问行为分析，实现课堂提问情况的清晰回顾。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#2.教师语速分析：支持通过语音识别能力进行教师课堂授课语速分析，呈现数据需包括教师课堂说话词数以及平均语速。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#3.课堂语音转写：要求基于语音语义识别完成课堂音频的文字转换，实现课堂教学过程语音</w:t>
            </w:r>
            <w:r>
              <w:rPr>
                <w:rFonts w:hint="eastAsia" w:ascii="宋体" w:hAnsi="宋体" w:cs="宋体"/>
                <w:i w:val="0"/>
                <w:iCs w:val="0"/>
                <w:color w:val="000000"/>
                <w:sz w:val="21"/>
                <w:szCs w:val="21"/>
                <w:u w:val="none"/>
                <w:lang w:val="en-US" w:eastAsia="zh-CN" w:bidi="ar"/>
              </w:rPr>
              <w:t xml:space="preserve">全记录</w:t>
            </w:r>
            <w:r>
              <w:rPr>
                <w:rFonts w:hint="eastAsia" w:ascii="宋体" w:hAnsi="宋体" w:eastAsia="宋体" w:cs="宋体"/>
                <w:i w:val="0"/>
                <w:iCs w:val="0"/>
                <w:color w:val="000000"/>
                <w:sz w:val="21"/>
                <w:szCs w:val="21"/>
                <w:u w:val="none"/>
                <w:lang w:val="en-US" w:eastAsia="zh-CN" w:bidi="ar"/>
              </w:rPr>
              <w:t xml:space="preserve">，要求平台上可输出整节课的文字字幕。实现字幕与视频进度关联，通过点击字幕同步播放对应进度的视频。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#4.课堂问答情况分析：要求支持对课堂过程中师生的问答内容作出AI认知度的分析识别，并显示高低认知度的占比情况。判断教学过程当中的基础认识问题次数与占比，高级认知问题的次数与占比；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#5.课堂问题类型分析：要求将课堂过程中教师教学设计内容的认知水平问题按照模型进行分类，呈现提问次数与提问占比，支持将每个提问进行转写并判断问题类型及是否应答。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#6.课堂高频词分析：支持通过进行课堂语音识别，抓取授课过程中出现的高频词汇，并统计出现频次，判断课堂教学重点；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#7.课堂语气词分析：支持通过进行课堂语音识别，判断老师教学过程中出现的常规语气词出现频次，如“呐”，“嘛”，等语气词，辅助老师调整教学过程中的不良习惯。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#8.语音转写回看：观看视频过程中可查看语音转写的文字记录，支持通过关键字搜索功能快速跳转至播放节点；支持手动纠错，通过编辑功能，可手动修改语音转写的内容。</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0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智能行为分析管理平台</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一、AI教情分析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课堂教学行为分析：系统能自动识别的教师行为，包括讲授、巡视、师生互动、指导学生、教师提问、书写板书等；可根据不同的教学行为时序进行智能打点切片，形成行为时序图，可自动定位到课堂实录的特定时刻，方便进行快速回顾教学环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展示模型：支持以秒为颗粒度对教师讲授、师生互动、指导学生、教师提问、书写板书等教学行为进行分析，以课堂时间为轴线形成课堂教学评估数据，并以图表形式直观展示课堂每个时刻的行为类型和持续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#3.教师巡视分析：支持对教师巡视停留占比情况进行AI分析，可自动生成教师巡视停留模型热力图，要求轨迹图以教室3D模型形式直观呈现教师授课过程中的授课位置数据。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课堂问题汇总：支持对课堂中的问题类型和数量进行AI分析，可识别类型包括创新型、评价型、分析型、应用型、理解型、记忆型、非思维等，点击详情时间戳中对应的实时AI转写字幕可自动跳转到对应的视频节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#5.学生回答情况分析：支持按照肯定性回答、解释性回答、无回答等维度对学生回答情况进行分析，可汇总不同维度的回答次数和所占百分比，并可查看整堂课程中的回答问题情况详细分布。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#6.支持弗兰德斯教学行为分析法（S-T）：支持根据图像识别全自动跟踪数据生成S-T曲线图，帮助用户进行教学技能提升和评估，支持分别以学生行为时间和教师行为时间轴方式展示。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#7.RT-CH教学模型：采用RT-CH教学分析模型，自动生成矩阵图并判定授课类型属于对话型、练习型、混合型、讲授型课堂。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二、AI学情分析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学生学习分析：系统能自动识别的学生行为，包括听讲、举手、读写、学生汇报、生生互动等，可统计每个维度的学习用时占比和时长，根据不同的学生行为时序进行智能打点切片，形成行为时序图，可自动定位到课堂实录的特定时刻，方便进行快速回顾教学听课环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#2.学生表情分析：支持对学生的表情进行AI分析，包括消极、平静、开心、难过、生气、反感、害怕等，可统计不同维度的人员数量、所占百分比和峰值时间，点击峰值时间可自动跳转到对应的视频节点。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#3.学生动作分析：支持对学生的动作进行AI分析，包括趴桌子、举手、站立、回头等，可统计不同维度的人员数量、所占百分比和峰值时间，点击峰值时间可自动跳转到对应的视频节点。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#4.课堂纪律分析：以班级维度进行班级出勤人数统计，包括应出席人数、迟到人数、早退人数等。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#5.学生参与度和专注度分析：支持以课堂时间为轴线，对各个时刻学生的参与度和专注度进行分析统计，形成学生观课专注度和参与度曲线变化数据统计。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三、语音分析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#1.语速分析：支持按照时间轴对整堂课程中的语速进行AI分析，可自动统计讲述字数和课程时长。支持查看每分钟节点的语速。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#2.词汇分析：支持对整堂课程中的高频词和语气词进行AI分析，可自动统计教师在授课过程中的高频词和语气词，以及使用次数，帮助教师改善教学用词。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#3.语音转写回看：观看视频过程中可查看语音转写的文字记录，支持通过关键字搜索功能快速跳转至播放节点；支持手动纠错，通过编辑功能，可手动修改语音转写的内容。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四、课程报告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AI课堂报告：能实现用户查阅并下载课堂的AI分析报告，报告包含课堂信息简介、课堂分析概括、教师行为时序、S-T教学行为分析、RT-CH教学分析、课堂问题详情、学生行为占比、学生参与度和专注度、课堂纪律、学生表情动作峰值、语速分析、高频词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#2.评课报告：能实现用户查阅并下载课堂的评课报告，报告包括针对该课程的点评次数、平均分、评课人数、观看人数、收藏数，详细查看评课表各评分项，评价教师和评价内容。</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#1.交换容量≥330Gbps，包转发率≥108Mpps;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#2.固化10/100/1000M以太网端口≥24个，固化10G/1G SFP+光接口≥4个;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#3.为保证设备在受到外接机械碰撞时能够正常运行，要求所投交换机IK防护测试级别至少达到IK05;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#4.支持生成树协议STP(IEEE 802.1d)，RSTP(IEEE 802.1w)和MSTP(IEEE 802.1s)，完全保证快速收敛，提高容错能力，保证网络的稳定运行和链路的负载均衡，合理使用网络通道;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#5.支持特有的CPU保护策略，对发往CPU的数据流，进行流区分和优先级队列分级处理，并根据需要实施带宽限速，充分保护CPU不被非法流量占用、恶意攻击和资源消耗;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#6.支持IPV4/IPV6静态路由;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#7.支持快速链路检测协议，可快速检测链路的通断和光纤链路的单向性，并支持端口下的环路检测功能，防止端口下因私接Hub等设备形成的环路而导致网络故障的现象;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#1.86型单口面板；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#2.带弹簧门式防尘盖（平口），带有透明标签夹，可以插入图标，说明端口的应用功能；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#3.材料要求：面板应由ABS模塑料制成，符合UL 94V-0等级要求；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#4.颜色：乳白色，颜色可定制；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#5.要求网络面板通过硬度测试，硬度≥80 Shore D。</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#1.门及门锁：钢化玻璃前门，带锁；全金属后门，带锁；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#2.材料及工艺： 钢化玻璃前门和金属后门；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#3.侧板：速装卸侧板；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#4.底座：四重载轮和四调节脚；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#5.顶盖：侧通风顶盖；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#6.最大载重：300</w:t>
            </w:r>
            <w:r>
              <w:rPr>
                <w:rFonts w:hint="eastAsia" w:ascii="宋体" w:hAnsi="宋体" w:cs="宋体"/>
                <w:i w:val="0"/>
                <w:iCs w:val="0"/>
                <w:color w:val="000000"/>
                <w:sz w:val="21"/>
                <w:szCs w:val="21"/>
                <w:u w:val="none"/>
                <w:lang w:val="en-US" w:eastAsia="zh-CN" w:bidi="ar"/>
              </w:rPr>
              <w:t xml:space="preserve">kg</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7.风扇单元（一风机）：固定托架一个；五孔插口配电单元一个；地脚轮4个；地脚钉4颗；安装螺丝50颗。</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3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★观摩电视机（含机架）</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#1.屏幕物理尺寸≥55吋；屏幕分辨率≥3840*2160；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#2.屏幕刷新率≥60Hz；屏幕可视角度≥±176度；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#3.整机功耗≤120W；待机功耗≤0.5W；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#4.内置喇叭个数≥2；喇叭总功率≥16W。</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LED时钟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#1.教室后方配备超薄LED屏。实现与录播一体机、桌面式触摸面板相结合，当老师按中控上开始录制键时，时钟从0开始计时，提醒录制时间。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★显示器</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#1.22寸液晶，面板类型-TN面板  屏幕比例 16:10 ，响应时间 5ms   点距 0.2835mm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#2.色数 16.7M   亮度 250cd/m2，对比度 1000000：1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#1.声道 2.0，类型 多媒体音箱，理论功率 RMS 8W×2 （@fo=1kHz, THD=10%）；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#2.阻抗 20k欧姆，信噪比 &gt;=80dB(A计权，灵敏度 360mV；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#3.防磁功能 支持音箱控制 音量, 超低音旋钮调节扬声器单元 低音单元：4英寸陶瓷纸盆，防磁设计、高音单元：3/4英寸PV膜球顶高音扬声器，防磁</w:t>
            </w:r>
            <w:r>
              <w:rPr>
                <w:rFonts w:hint="eastAsia" w:ascii="宋体" w:hAnsi="宋体" w:cs="宋体"/>
                <w:i w:val="0"/>
                <w:iCs w:val="0"/>
                <w:color w:val="000000"/>
                <w:sz w:val="21"/>
                <w:szCs w:val="21"/>
                <w:u w:val="none"/>
                <w:lang w:val="en-US" w:eastAsia="zh-CN" w:bidi="ar"/>
              </w:rPr>
              <w:t xml:space="preserve">设计</w:t>
            </w:r>
            <w:r>
              <w:rPr>
                <w:rFonts w:hint="eastAsia" w:ascii="宋体" w:hAnsi="宋体" w:eastAsia="宋体" w:cs="宋体"/>
                <w:i w:val="0"/>
                <w:iCs w:val="0"/>
                <w:color w:val="000000"/>
                <w:sz w:val="21"/>
                <w:szCs w:val="21"/>
                <w:u w:val="none"/>
                <w:lang w:val="en-US" w:eastAsia="zh-CN" w:bidi="ar"/>
              </w:rPr>
              <w:t xml:space="preserve">，接口 双立体声RCA接口，A口高音提升。</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控制区操作台</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#1.尺寸(长×宽×高）≥ 1280*750（950）*900mm ；                                                                                                    #2.主体框架需采用无螺丝卡扣式组装方式</w:t>
            </w:r>
            <w:r>
              <w:rPr>
                <w:rFonts w:hint="eastAsia" w:ascii="宋体" w:hAnsi="宋体" w:eastAsia="宋体" w:cs="宋体"/>
                <w:i w:val="0"/>
                <w:iCs w:val="0"/>
                <w:color w:val="000000"/>
                <w:sz w:val="21"/>
                <w:szCs w:val="21"/>
                <w:u w:val="none"/>
                <w:lang w:val="en-US" w:eastAsia="zh-CN" w:bidi="ar"/>
              </w:rPr>
              <w:t xml:space="preserve">，可实现快速组装随意组合，台体底座装有高度可调节水平地脚支撑，每个工位配备一组键盘抽屉和一组19寸机架和一块托盘；                                                                                                                     #3.操作台面和侧板需选用E1级环保实木颗粒板，台面采用黑白喷漆套色；                                               </w:t>
            </w:r>
            <w:r>
              <w:rPr>
                <w:rFonts w:hint="eastAsia" w:ascii="宋体" w:hAnsi="宋体" w:eastAsia="宋体" w:cs="宋体"/>
                <w:i w:val="0"/>
                <w:iCs w:val="0"/>
                <w:color w:val="000000"/>
                <w:sz w:val="21"/>
                <w:szCs w:val="21"/>
                <w:u w:val="none"/>
                <w:lang w:val="en-US" w:eastAsia="zh-CN" w:bidi="ar"/>
              </w:rPr>
              <w:t xml:space="preserve">                                 #4.铝型材屏风高度≥200mm，需可安装各型号显示器支架；                                                                                                       # 5.金属框架需选用优质冷轧钢板，整体框架厚≥1.5mm,前后门厚≥1.0mm, 木质台面厚度≥25mm，铝型材厚度≥2.0mm；6、操作台所有金属构件表面需喷涂柔性磨砂哑光漆。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操作椅</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#1.座背饰面：采用抗菌防霉的网布，防污、耐磨、透气性强;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#2.海绵：采用高密度、慢回弹的阻燃</w:t>
            </w:r>
            <w:r>
              <w:rPr>
                <w:rFonts w:hint="eastAsia" w:ascii="宋体" w:hAnsi="宋体" w:cs="宋体"/>
                <w:i w:val="0"/>
                <w:iCs w:val="0"/>
                <w:color w:val="000000"/>
                <w:sz w:val="21"/>
                <w:szCs w:val="21"/>
                <w:u w:val="none"/>
                <w:lang w:val="en-US" w:eastAsia="zh-CN" w:bidi="ar"/>
              </w:rPr>
              <w:t xml:space="preserve">海绵</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#3.结构：座位内置钢板，设置有专用通风孔，确保座位舒适透气。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#4.气压棒：采用安全系数高的气压棒，全黑色外观，气杆行程超过100mm，满足不同身高人群，内管壁厚≥ 1.5mm，确保气压室密闭强度，提高安全性。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#5.弓形架：金属件喷涂层应无漏喷、锈蚀和脱色、掉色现象，涂层应光滑均匀、色泽一致；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生产工艺要求：钢管或钢架焊接表面要求波纹均匀，焊接处无夹渣、气孔、焊瘤、焊接头咬边和飞溅，并保证无脱焊、虚焊、焊穿等现象。所有金属作脱脂、除锈、酸洗、磷化、电泳、干燥等防锈工序处理，无气泡、无裂缝、表面光洁、静电喷塑、烘干处理、高温固化，表面无脱色现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695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互动教学系统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#1.局域网内可教学，无外网连接的情况下60个用户同时连接依然可以进行有序的课堂教学;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#2.支持win11、Win10、andriod、iOS操作系统，可实现多种系统之间混合使用;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#3.屏幕广播：广播多媒体课件，3D，大型游戏界面，支持DirectDraw、Direct3D、 Overlay、OpenGL等特殊显示方式，支持全屏和窗口模式切换，广播同时可进行屏幕录制;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▲4.主题讨论：同组或同主题师生支持多种方式进行交流，包括文字，表情，图片，手写板、语音等，支持共享文件和聊天记录视图。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文件管理：有文件分发、收集、提交功能，可拖拽添加文件，可限制学生提交文件的数目和大小屏幕监视：教师机可监视多个学生屏幕≥36个,并可保存学生画面的截图;</w:t>
            </w:r>
            <w:r>
              <w:rPr>
                <w:rFonts w:hint="eastAsia" w:ascii="宋体" w:hAnsi="宋体" w:eastAsia="宋体" w:cs="宋体"/>
                <w:b/>
                <w:bCs/>
                <w:i w:val="0"/>
                <w:iCs w:val="0"/>
                <w:color w:val="000000"/>
                <w:sz w:val="21"/>
                <w:szCs w:val="21"/>
                <w:u w:val="none"/>
                <w:lang w:val="en-US" w:eastAsia="zh-CN" w:bidi="ar"/>
              </w:rPr>
              <w:t xml:space="preserve">（提供以上功能截图）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#5.班级模型：获取学生端计算机的名称、登录名、学生端应用程序、进程和进程 ID，远程终止学生端进程，可实时显示学生机桌面的缩图;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课堂策略控制：在课堂上，教师可以设置上网策略、应用程序策略、USB、CD使用、打印限制策略，对不同学生设置不同策略，查看当前的学生策略，上网限制支持多浏览器，IE、Chrome、QQ、Firefox、360等都可以限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通过导入图片、文档或截图创建白板，将白板内容共享给学生，学生和教师可以共享在白板上通过绘图工具和文本书写完成学习任务或绘画作品，提高学生团队合作的兴趣。教师也可以允许学生自己独立完成学习任务，教师可以在教师机上监看所有学生的完成情况;可以出任意题目请学生作答，抢答时只需按下按钮即可，竞赛支持同一小组内排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考试：教师导入word、ppt、excel、pdf等文档类型的考试内容共享给学生，直接生成答题卡用于学生作答，包含多种不同的题型：选择题，判断题，填空题，论述题手写题等，且手写题支持拍照上传答案；考试过程中，可以看到学生答题的进度，答题情况，考试结果统一导出为.html/xml形式，方便数据后期的整合利用。考试过程中有断电、关机等意外学生断线重连。自动评分，柱状图分析统计结果，将评分结果发送给学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具备学生演示、视频直播、屏幕录制、语音广播、语音对讲、电子点名、远程开关机、远程命令、远程设置、远程登录、支持远程为学生端安装/卸载应用程序、登录windows前接受广播、请求帮助、举手、发言、自动锁屏、防杀进程、黑屏肃静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w:t>
            </w:r>
            <w:r>
              <w:rPr>
                <w:rFonts w:hint="eastAsia" w:ascii="宋体" w:hAnsi="宋体" w:eastAsia="宋体" w:cs="宋体"/>
                <w:i w:val="0"/>
                <w:iCs w:val="0"/>
                <w:color w:val="000000"/>
                <w:sz w:val="21"/>
                <w:szCs w:val="21"/>
                <w:u w:val="none"/>
                <w:lang w:val="en-US" w:eastAsia="zh-CN" w:bidi="ar"/>
              </w:rPr>
              <w:t xml:space="preserve">设备的有线接入：设备具有1路HDMI输入接口，支持电脑、摄像机、实物展台等外部设备的有线接入。具有1路HDMI输出接口。可通过USB口直接接入摄像头采集环境画面，支持通过USB口进行鼠标键盘的接入，支持选择U盘中的文档、图片、视频等资料直接打开播放，也可对存储至U盘的资源进行预览、删除，支持三大类公有传输协议投屏：支持Air Play、Miracast、WIDI投射协议投屏，能够将iOS设备、macOS设备、Android设备、Windows设备不安装任何APP或者插件的前提下直接无线接入智能云盒进行投屏；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多种画面布局显示：支持不少于16个投屏设备同时接入智能云盒，不少于同时8个画面显示，且支持Auto（自适应）画面、1画面、2画面、3画面、4画面、6画面、8画面切换模式，不少于8种默认画面布局方式，画面支持均分屏幕、一大一小、一大两小、一大三小、画中画等；一键点击，即可选择相应的布局。布局内显示的投屏设备具有设备画面记忆功能。界面布局支持：全屏模式、工具条显示模式、研讨模式等。研讨模式下，已连接的设备、文件资料能够自动罗列显示出来，让主讲人所见即所得。布局还有：布局快照、清除主屏、清除副屏等功能按钮的选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#12.互动：支持参会者使用手写板、反馈器、微信小程序参与会议互动，手写板与反馈器需要在后台绑定主讲人会议信息，设备与参会者姓名绑定，便于答题数据的统计。参会者</w:t>
            </w:r>
            <w:r>
              <w:rPr>
                <w:rFonts w:hint="eastAsia" w:ascii="宋体" w:hAnsi="宋体" w:eastAsia="宋体" w:cs="宋体"/>
                <w:i w:val="0"/>
                <w:iCs w:val="0"/>
                <w:color w:val="000000"/>
                <w:sz w:val="21"/>
                <w:szCs w:val="21"/>
                <w:u w:val="none"/>
                <w:lang w:val="en-US" w:eastAsia="zh-CN" w:bidi="ar"/>
              </w:rPr>
              <w:t xml:space="preserve">可通过微信扫码签到，输入会议ID号，加入主讲人创建的会议。对于迟到的参会者，主讲人可随时再次发起签到，让参会者加入到会议。会议中，主讲人可以以当前界面显示内容为题目，直接发起答题。题型支持：单选题、多选题、判断题、算术题、投票、挑人、抢答、书写题、简答题等。通过微信答题时，题目内容与答题选项同步推送到参会者微信小程序上。主讲端可实时看到答题进度，可主动停止答题，答题结束之后，答题统计结果以图表形式实时展示。主讲人可不设置正确答案，让参会者再次作答，两次作答结果可进行对比。可统计互动数据，生成报告，点击下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网络直播：支持创建即时直播，收看端直接收看直播。支持选择不同的收看方式：选择云盒作为收看端设备、允许云盒通过直播间ID加入收看直播、支持移动端通过扫描二维码观看本次直播。支持锁定直播间，锁定后，其他云盒则无法再加入收看直播。支持直播端设备查看：收看端是否加入直播间、收看端设备类型、收看端加入直播间方式、是否移除收看端设备、锁定直播间、结束直播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#14.支持反向控制操作：支持对HDMI有线接入的电脑、无线投屏的Android、Windows设备进行反向控制操作，具有选择开启或关闭功能按钮，可在显示终端大屏触摸或通过智能云盒外接鼠标以及遥控器软件进行回控。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#15.扩展屏：支持android和windows系统的移动终端设备安装扩展屏软件，视频流画面实时同步到移动终端上。设置选择接收视频流画面，支持:大屏画面、录制直播画面、同步课堂画面等。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#16.安全策略：支持设置随机PIN码和固定PIN码，移动端设备无线投屏或使用遥控器APP时均需输入对应的PIN码；可支持设置管理员密码和密码提示信息，每次进入“设置”界面均需要输入管理员密码。</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高性能AP</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#1.802.11ac wave2高性能无线接入点，采用三频设计，支持2.4G、5G、5G三频并发。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#2.接入速率：2.4G≥400Mbps、5G（1）≥867Mbps、5G（2）≥1733Mbps。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#3.以太网口：≥2*10/100/1000Mbps。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#4.供电方式：支持802.3at供电，支持多以太网口同时POE供电。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#5.USB接口：支持外接U盘及物联网拓展。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#6.支持中文SSID，可以用学校或班级名称作为Wi-Fi信号，适用于多种应用场景。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#7.支持无线控制器管理，安装管理更简单。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充电柜</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#1.平板电脑支持尺寸：10英寸以上；平板电脑方式方向：横放；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#2.平板充电数量：40-60位；充电接口：220V插座；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#3.柜体内部设计方便走线；柜体采用全封闭式防盗结构，安全存储；柜门采用大转角设计，方便多位同学同时取放平板；充电柜采用可移动式设计，具备万向轮，可移动。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798"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文宣装修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墙面聚酯纤维吸音板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#1.聚酯纤维吸音板，规格2420*1220*9mm，环保等级E1，符合GB18580-2001标注要求，含B1级防火板底板，万能胶粘贴。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墙面木质吸音板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#1.木制吸音板，规格2400*197*12mm，环保等级E1，降噪系数0.25，测试依据18696.1-2004，立柱整包。</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#1.铝板集成吊顶+石膏板。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地面PVC</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#1.3.0mm及以上厚度，采用原生材料，产品结构从上到下依次为pvc耐磨层，稳定层，网格布夹带层，发泡层，防移动吸附式背板。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#1.10钢化玻璃+单面透视贴。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#1.现场定制。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KT板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#1.UV雕刻。</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电路工程</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#1.2.5国标铜芯电线、pvc线管、开关盒。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讲台地面升高</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#1.木质底板，木工板敷面，再以1.5的模板敷面，高度12CM。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#与地胶匹配，木质或金属拉丝材质。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LED平板灯</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#1.名称：平板灯（LED）色温4500-5500k;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观摩室吊顶</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#1.铝板集成吊顶含吊筋（50mm）。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观摩室地面PVC</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#1.厚度3.0MM 凹凸面 </w:t>
            </w:r>
            <w:r>
              <w:rPr>
                <w:rFonts w:hint="eastAsia" w:ascii="宋体" w:hAnsi="宋体" w:cs="宋体"/>
                <w:i w:val="0"/>
                <w:iCs w:val="0"/>
                <w:color w:val="000000"/>
                <w:sz w:val="21"/>
                <w:szCs w:val="21"/>
                <w:u w:val="none"/>
                <w:lang w:val="en-US" w:eastAsia="zh-CN" w:bidi="ar"/>
              </w:rPr>
              <w:t xml:space="preserve">哑</w:t>
            </w:r>
            <w:r>
              <w:rPr>
                <w:rFonts w:hint="eastAsia" w:ascii="宋体" w:hAnsi="宋体" w:eastAsia="宋体" w:cs="宋体"/>
                <w:i w:val="0"/>
                <w:iCs w:val="0"/>
                <w:color w:val="000000"/>
                <w:sz w:val="21"/>
                <w:szCs w:val="21"/>
                <w:u w:val="none"/>
                <w:lang w:val="en-US" w:eastAsia="zh-CN" w:bidi="ar"/>
              </w:rPr>
              <w:t xml:space="preserve">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观摩室墙面乳胶漆刷白</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#1.环保无机涂料，防火等级B1，成品腻子粉。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观摩室电路工程</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#1.国标铜芯电线、pvc线管、开关盒。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观摩室踢脚线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#1.与地胶匹配，木质或金属拉丝材质。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观摩室LED平板灯</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#1.名称：平板灯（LED）色温4500-5500k;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#2.规格：600*600。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观摩室开关插座及电源控箱</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#1.PZ暗装盒含漏电保护器，空开，灯开关插座等。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65"/>
        <w:gridCol w:w="6630"/>
        <w:gridCol w:w="735"/>
        <w:gridCol w:w="66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AE-初中化学仪器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教师演示仪器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#1、黑板为双面金属，中间为人造板，并与金属板粘结可靠，四周镶边。美观、精致、洁美、牢固。无</w:t>
            </w:r>
            <w:r>
              <w:rPr>
                <w:rFonts w:hint="eastAsia" w:ascii="宋体" w:hAnsi="宋体" w:cs="宋体"/>
                <w:i w:val="0"/>
                <w:iCs w:val="0"/>
                <w:color w:val="000000"/>
                <w:sz w:val="21"/>
                <w:szCs w:val="21"/>
                <w:u w:val="none"/>
                <w:lang w:val="en-US" w:eastAsia="zh-CN" w:bidi="ar"/>
              </w:rPr>
              <w:t xml:space="preserve">镜面</w:t>
            </w:r>
            <w:r>
              <w:rPr>
                <w:rFonts w:hint="eastAsia" w:ascii="宋体" w:hAnsi="宋体" w:eastAsia="宋体" w:cs="宋体"/>
                <w:i w:val="0"/>
                <w:iCs w:val="0"/>
                <w:color w:val="000000"/>
                <w:sz w:val="21"/>
                <w:szCs w:val="21"/>
                <w:u w:val="none"/>
                <w:lang w:val="en-US" w:eastAsia="zh-CN" w:bidi="ar"/>
              </w:rPr>
              <w:t xml:space="preserve">反光，色泽均匀，书写流畅。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#2、尺寸为900mm×600mm。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#4、使用无尘粉笔应手感流畅，充实，笔迹清晰，经反复擦拭，无明显遗留粉笔痕迹。黑板提手位于长边边框中间，安装牢靠，挂起或提拿时无明显倾斜。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#1.采用优质钢材，防锈处理。穿孔管用外径为6mm．8mm．10mm，管长80mm，壁厚1mm的冷拔无缝钢管，手柄用2mm厚低碳钢板，通用条Φ3mm碳素钢等制成。四件为一套，可穿4mm．6mm．8mm的圆孔。</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#1．产品由上夹板、下夹板、螺钉及紧固蝴蝶螺母等组成。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#2．产品长170mm，宽40mm。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#3．上、下夹板应由透明有机玻璃制成，表面光洁，强度好。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#4．上夹板应备有直径为6mm、8mm、10mm、12mm直穿孔4个。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#5．紧固螺钉与下夹板坚固为一体，不得松动；紧固螺钉长度不小于80mm。上夹板上下高度可调，由蝴蝶螺母定位。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#6．上夹板、下夹板厚10mm，具有足够强度，正常情况下使用不得断裂；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#1.组成：仪器由旋转立柱、夹持固定装置、四个不同直径刀头及捅条组成；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#2.螺旋立柱应能通过手轮的转动向安装后的刀头稳定加压打孔；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#3.四支刀口外径分别为Φ12mm，Φ10mm,Φ8mm,Φ6mm，捅条直径不小于φ4mm，刀口锋利，无卷边；</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#1．规格：680mm×460mm×800mm。不锈钢材料制。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#2．仪器车应分为2层，层间距不小于300mm。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#3．车架用直径不小于Φ19mm、壁厚不小于1mm的不锈钢管制成，高不低于800mm。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#4．车架脚安装有不小于Φ50mm、厚15mm转动灵活的万向轮。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#5．车隔板为不薄于1mm的不锈钢制成，四周安装有约30mm高的挡板。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#6．整车安装好后应载重50</w:t>
            </w:r>
            <w:r>
              <w:rPr>
                <w:rFonts w:hint="eastAsia" w:ascii="宋体" w:hAnsi="宋体" w:cs="宋体"/>
                <w:i w:val="0"/>
                <w:iCs w:val="0"/>
                <w:color w:val="000000"/>
                <w:sz w:val="21"/>
                <w:szCs w:val="21"/>
                <w:u w:val="none"/>
                <w:lang w:val="en-US" w:eastAsia="zh-CN" w:bidi="ar"/>
              </w:rPr>
              <w:t xml:space="preserve">kg</w:t>
            </w:r>
            <w:r>
              <w:rPr>
                <w:rFonts w:hint="eastAsia" w:ascii="宋体" w:hAnsi="宋体" w:eastAsia="宋体" w:cs="宋体"/>
                <w:i w:val="0"/>
                <w:iCs w:val="0"/>
                <w:color w:val="000000"/>
                <w:sz w:val="21"/>
                <w:szCs w:val="21"/>
                <w:u w:val="none"/>
                <w:lang w:val="en-US" w:eastAsia="zh-CN" w:bidi="ar"/>
              </w:rPr>
              <w:t xml:space="preserve">，应运行平稳，不得变形、摇晃、松动。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#1.产品应采用优质塑料注塑成型作支架，沉淀管用半透明塑料组成；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#2.产品由固定支架、手柄、变速机构、离心机构四部分组成；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#3.可变速度50-150次/分；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#4.各部结构应可靠、灵活，金属部分电镀；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74"/>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#1.采用不锈钢制作精细，卫生；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#2.采用三线电源接地保护，安全可靠。使用电源：交流220V，50Hz。功率：3</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#3.外形尺寸：290×200×575mm；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蒸馏水器由蒸发锅、冷凝器、电器装置三部分等组成。蒸发锅由不锈钢薄板制成，锅上有溢水口，顶盖中央有挡水帽，左侧有放水栓塞；冷凝器：由不锈钢薄板制成，结构为可拆式；加热部分：几只浸入式加热管装于蒸发锅内的底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#5.规格：出水量3升/小时。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#1.产品为列管烘干型式；外壳为不锈钢；列管为金属制，管上有直径3mm的孔12个，顶端为塑料帽，管长约170mm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#2.电热部分应与外壳及经常接触部位进行安全隔离；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#3.被干燥仪器每批均在11件；结构简单的仪器每批干燥时间约为30分钟；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#4.工作电压：220V，电机功率：20W，发热功率：260W。</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#1、底座台面为大理石面，尺寸为300×150×16mm；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#2、立柱由Φ10mm圆钢制成，一端有螺纹并附螺帽及垫片，表面镀铬，置于工作台面上与台面垂直不大于5°；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#3、底座四脚有橡胶垫脚，放置平衡不晃动。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#1、塑料制，外形光滑美观。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#2、固定支杆的部位为塑料带凹槽，滴管夹子弹性强，夹持牢固。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#3、外形尺寸：230mm×120mm。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#1.输出电压：交流输出：2V－12V，每2V</w:t>
            </w:r>
            <w:r>
              <w:rPr>
                <w:rFonts w:hint="eastAsia" w:ascii="宋体" w:hAnsi="宋体" w:cs="宋体"/>
                <w:i w:val="0"/>
                <w:iCs w:val="0"/>
                <w:color w:val="000000"/>
                <w:sz w:val="21"/>
                <w:szCs w:val="21"/>
                <w:u w:val="none"/>
                <w:lang w:val="en-US" w:eastAsia="zh-CN" w:bidi="ar"/>
              </w:rPr>
              <w:t xml:space="preserve">一档</w:t>
            </w:r>
            <w:r>
              <w:rPr>
                <w:rFonts w:hint="eastAsia" w:ascii="宋体" w:hAnsi="宋体" w:eastAsia="宋体" w:cs="宋体"/>
                <w:i w:val="0"/>
                <w:iCs w:val="0"/>
                <w:color w:val="000000"/>
                <w:sz w:val="21"/>
                <w:szCs w:val="21"/>
                <w:u w:val="none"/>
                <w:lang w:val="en-US" w:eastAsia="zh-CN" w:bidi="ar"/>
              </w:rPr>
              <w:t xml:space="preserve">；共六档；额定输出电流：5A。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#2.直流稳压输出，1.5V－12V，分1.5V、3V、4.5V、6V、9V、12V六档；额定输出电流：2A。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#3.直流大电流短时输出：40A，8秒自动关断。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#4.交流输出：a.各档空载电压不大于1.05 U标＋0.3V； b.各档满载电压不小于0.95 U标－0.3V。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#5.直流稳压输出：a. 电压偏调：±（2％U标＋0.1V） b. 电压稳定性：输入电压在198V－242V件变化，在满载时各档输出电压变化量不大于2％U标＋0.1V。 c. 负载稳定性：输入电压保持220V不变，负载电流在0至满载范围内变化，各档输出电压变化量不大于2％U标＋0.1V。 d. 纹波电压：电源电压保持220V，满载时各档纹波电压不大于0.1％U标（有效值）。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#6.直流大电流短时输出电流大于10A时，20s±2s自动关断。输出短时电流为40A+10A，8 s±2自动关断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#7.过载保护：交流和直流稳压输出电流在额定电流值的1.05－1.5倍时，自动关断输出。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8.机箱采用全塑料注塑成型，外形尺寸：250mm×200mm×115mm。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#1．最大称量100g，分度值0.1g。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#2．砝码组合的总质量（包括标尺计量值）应不小于天平的最大秤量，砝码分别为：50g1个、20g2个、10g1个、5g1个。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#3.冲压件表面应光洁平整，不应有毛刺、锋棱、裂纹和显见砂眼。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#4.电镀件的镀层应色泽均匀，不应有露底和显见的麻点、水迹、擦伤等缺陷。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#5.油漆件表面应平整光滑，色泽均匀，不应有露底、起泡、挂漆、擦伤等缺陷。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#6.附塑料镊子一把。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#7.托盘直径82mm；外形尺寸：200mm×70mm×140mm。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#1.最大称量500g，分度值0.5 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#2.秤量允许误差为±0.5d(分度值)。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#3.砝码组合的总质量（包括标尺计量值）应不小于天平的最大秤量。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#4.冲压件表面应光洁平整，不应有毛刺、锋棱、裂纹和显见砂眼。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#5.电镀件的镀层应色泽均匀，不应有露底和显见的麻点、水迹、擦伤等缺陷。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#1.100g，0.001g。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#2.称盘尺寸：圆盘ф130mm。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#3.电源电压：220VAC。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#4.采用高精度电磁平衡传达室感器，LED显示。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#5.具有计数、确认、清零、校准。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#6.防风罩一套，采用透明塑料注塑成型。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#7.校准砝码1个。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#8.主机外形尺寸：185mm×235mm×50mm。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#1.400g，0.1g。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#2.称盘尺寸：圆盘ф130mm。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#3.电源电压：220VAC。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#4.采用高精度电磁平衡传达室感器，LED显示。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#5.具有计数、确认、清零、校准。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#1.工作参数：220V±10%.2W。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#2.外形尺寸：200×175×80mm，塑料垂纹外壳，塑料仪器面板，有散热孔。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#3.测温范围：-55～+199℃。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#4.测量误差：±0.5℃。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#5.显示方式：4位LED红色显示。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#6.传感方式：直接接触式。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磁表头。测量范围：直流电流：0～5～50～500mA,10A；直流电压：0～0.25～0.5～10～50～250～500～1000V，交流电压：0～10～50～250～500～1000V；直流电阻：X1～X10K；温度测试：-10～150℃，电容：0.01～100000μf；电感：20～1000H；音频电平：-10～+22db。表笔1套。外型规格：165×113×52mm。重量：0.6k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#1.密度＞1。长度：255mm。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#1.密度＜1。长度：260mm。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#1.由2个25ml酸式滴定管，1个直形安全漏斗，1个无色透明塑料容器，2个铂电极和附件组成。在12V.1A直流中的作用下，3-5分钟内，由电解的水生成20ml：10ml的氢气和氧气。</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#1.机械式。产品由主机、旋转轴、水管等组成。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#2.主机外壳为金属制，表面烤漆处理，外形尺寸：230mm×130mm×90mm。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#3.工作电压：220V 50Hz，功率：30W，转速：2500y/min。</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#1.产品由演示板、溶液盒5套等组成。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#2．演示板应采用塑料注塑成型，白色，演示板外形尺寸：316±2mm×216±2mm×19±1mm，板上印有线路图，安装有5个6.2V的灯泡、开关、指示灯及10个接线柱。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#3.溶液盒5套，盒体应采用透明塑料注塑成型，表面光洁透明，外形尺寸：50±2mm×28±2mm×60±2mm，溶液盒盖应采用橡胶压制而成，盖上安装石墨碳棒电极两根，电极直径为4mm，长48mm，外接导线及接线叉。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#4.供电DC6V；可同时演示五组。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#1.全塑料制，演示用。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#2.由Φ22mm的碳原子34个、键44根组成。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#3.碳原子为黑色，四孔；键为灰色，直径4mm，长17mm。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#1.全塑料制，演示用。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#2.由Φ22mm的碳原子39个、中键45根、长键14根组成。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#3.碳原子为黑色，五孔；中键为白色、长键为灰色。中键直径4mm，长15mm。长键直径3mm，长29mm。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#1.全塑料制，演示用。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#2.由Φ22mm的碳原子60个、单中键60根、双中键30根组成。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#3.碳原子为黑色，三孔；单中键为灰色、双中键为紫色。键直径4mm，长15mm。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#1.全塑料制，演示用。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#2.由Φ22mm的氯原子13个、钠原子14个、长键54根组成。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#3.氯原子为绿色、钠原子为灰色。键直径3mm，长30mm。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#1.主要技术指标：应选取不少于5种以上的标本。 每种标本样品外形尺寸不小于25mm×15mm，标本盒内固定牢靠。标本盒不小于190mm×130mm。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技术指标：选用常见的、用途较为广泛的馏分，应包含不少于10种，每种标本应具有一定的可见度，能满足正常的教学。标本应特征明显，在标本盒内固定牢靠。每种样品均应有相应标志性质、特征、用途的文字简介，标本盒不小于190mm×130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#1.主要技术指标：选用不少于十种高分子材料标本。每种材料标本外形尺寸不小于25mm×15mm。在标本盒内固定牢靠。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#1.人造牙、氧化铝陶瓷、压电陶瓷、光导纤维均固定于底盒，并有标签。标本盒为塑料制作，上盖为透明塑料，整体外形尺寸：205mm×125mm×30mm。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走进化学实验室</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#1.12幅，对开，铜版纸；符合国家教材审定通过的各种版本的普通初中化学教材；图形逼真，色彩鲜明，线条清晰；正规单位出版；符合JY0001-2003的有关规定。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身边的化学物质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#1.13幅，对开，铜版纸。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物质的组成、性质和变化规律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#1.8幅，对开，铜版纸；符合国家教材审定通过的各种版本的普通初中化学教材；图形逼真，色彩鲜明，线条清晰；正规单位出版；符合JY0001-2003的有关规定。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化学与社会发展</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#1.7幅，对开，铜版纸；符合国家教材审定通过的各种版本的普通初中化学教材；图形逼真，色彩鲜明，线条清晰；正规单位出版；符合JY0001-2003的有关规定。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#1.国家正式出版物，应符合新课标教学的要求，图面字迹清晰，图形、色调准确无误，铜版纸，印刷工艺精良。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学生分组实验仪器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#1．本产品由壳体及油石组成。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#2．壳体钢材制。壳体在磨刀时应夹紧打孔器，且打孔器正好与油石靠牢。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#3．油石为白刚玉料。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#4．打孔器刮刀装配牢固，无松动现象。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#1.结构合理，制作精细、使用方便；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#2、仪器由灯壶、灯管、空气调节器、预热壶、加料口等部分组成；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#3、空气调节器应能自如的调节空气进量从而调节火焰大小；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#4、仪器应密闭而无渗漏；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#5、灯壶加工精细，壶底无焊接；</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#1.额定电压ＡＣ220Ｖ±5％ 50Ｈz＋5,消耗功率1000Ｗ。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#2.加热盘直径150mm。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#3.温控</w:t>
            </w:r>
            <w:r>
              <w:rPr>
                <w:rFonts w:hint="eastAsia" w:ascii="宋体" w:hAnsi="宋体" w:cs="宋体"/>
                <w:i w:val="0"/>
                <w:iCs w:val="0"/>
                <w:color w:val="000000"/>
                <w:sz w:val="21"/>
                <w:szCs w:val="21"/>
                <w:u w:val="none"/>
                <w:lang w:val="en-US" w:eastAsia="zh-CN" w:bidi="ar"/>
              </w:rPr>
              <w:t xml:space="preserve">旋钮</w:t>
            </w:r>
            <w:r>
              <w:rPr>
                <w:rFonts w:hint="eastAsia" w:ascii="宋体" w:hAnsi="宋体" w:eastAsia="宋体" w:cs="宋体"/>
                <w:i w:val="0"/>
                <w:iCs w:val="0"/>
                <w:color w:val="000000"/>
                <w:sz w:val="21"/>
                <w:szCs w:val="21"/>
                <w:u w:val="none"/>
                <w:lang w:val="en-US" w:eastAsia="zh-CN" w:bidi="ar"/>
              </w:rPr>
              <w:t xml:space="preserve">控制温度，指示灯显示加热。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#4.外形尺寸：210×210×50(mm)。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#1.注射器由针头、注射管（100ml），活塞组成。注射管是用塑料做成的,符合GB15810标准。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#1、挤压型，由塑料细口瓶和瓶口装置出水管组成。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#2、250mL。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#3.塑料瓶直径60mm，高100mm，</w:t>
            </w:r>
            <w:r>
              <w:rPr>
                <w:rFonts w:hint="eastAsia" w:ascii="宋体" w:hAnsi="宋体" w:cs="宋体"/>
                <w:i w:val="0"/>
                <w:iCs w:val="0"/>
                <w:color w:val="000000"/>
                <w:sz w:val="21"/>
                <w:szCs w:val="21"/>
                <w:u w:val="none"/>
                <w:lang w:val="en-US" w:eastAsia="zh-CN" w:bidi="ar"/>
              </w:rPr>
              <w:t xml:space="preserve">喷嘴</w:t>
            </w:r>
            <w:r>
              <w:rPr>
                <w:rFonts w:hint="eastAsia" w:ascii="宋体" w:hAnsi="宋体" w:eastAsia="宋体" w:cs="宋体"/>
                <w:i w:val="0"/>
                <w:iCs w:val="0"/>
                <w:color w:val="000000"/>
                <w:sz w:val="21"/>
                <w:szCs w:val="21"/>
                <w:u w:val="none"/>
                <w:lang w:val="en-US" w:eastAsia="zh-CN" w:bidi="ar"/>
              </w:rPr>
              <w:t xml:space="preserve">孔径约1mm。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#1、本盘平时放于药品柜中，尺寸约300mm×200mm×55mm，短边有提耳，一盘内可同时放小试剂瓶30个以内。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#2、短边两侧有放置试管的孔，单边孔径分别为：Φ20mm孔3个，Φ16mm孔4个，Φ7mm孔4个。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#3、材质为耐酸碱塑料注塑成型，化学稳定性好，防止化学药品的腐蚀。</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#1.提篮外形尺寸约（不带提手）：480mm×280mm×170mm，底部抽屉尺寸约35cm×25mm。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#2.提手部位为圆柱形，高约240mm（装好后的高度）。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#3.整体表面刷清漆。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#1.产品为半透明塑料注塑成型。外形尺寸：250mm×180mm×100mm,水槽表面无瑕疵。</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#1.产品为葫芦状。由玻璃葫芦密封碘和万能夹组成。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#2.玻璃葫芦下部为球形、直径约55mm、上部为圆锥形、锥形直径约50mm、高约65mm，球体与锥形底部相通。碘的质量不少于0.3克。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#3.万能夹为金属制，表面电镀处理，四爪型，夹口部位应有软垫，手柄直径7mm、长不小于170mm。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#4.玻璃熔接平滑均匀，无气泡、无条纹。应耐80℃温差的急冷骤热。</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#1.产品由铸铁矩形底座、立杆、烧瓶夹、大小铁环、垂直夹（2只）、平行夹组成。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#2.底座重约0.98kg，尺寸：210×135mm；立杆直径约Φ12mm，一端有M10×18mm螺纹；烧杯夹为铁制，夹杆尺寸：Φ7*85mm；底座、烧杯夹和立杆表面作防锈处理。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#3.铁环材料直径约6mm，大环内径约98mm，柄长105mm；小环内径约58mm，柄长125mm。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#4.垂直和平行夹为铸铝制。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#1.产品由夹持柄及夹头组成，全钢制，表面电镀处理。上下夹口应转动自如、灵活，最大开口不小于40mm，四爪夹口部位分别配套有4个胶管。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#1．由铁环和3只脚组成。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#2．铁环内径：73mm ，外径：90mm，厚度4mm。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#3．三只脚与铁环焊接紧固，脚距相等，立放台上时圆环应与台面平行，所支承的容器不得有滑动。脚高：155mm，直径6mm。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#4.三脚架须经烤漆防锈处理，漆层均匀、牢固。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#1．产品由金属丝和套在其上的石棉筒组成。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#2．金属丝用Φ1mm左右的钢丝接成等边三角形，三角形的单边长不小于50mm，钢丝接头绞合，绞合长度不小于20㎜。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#3．石棉筒内径为Φ4mm，外径为Φ10mm。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#4．石棉筒应不裂、不缺、坚固、圆滑。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#5．金属丝应作防锈处理。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#1．产品由顶板、底板、插杆组成，8孔、8柱，全塑料制。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#2.顶板外形尺寸：250×28×4.5（mm），8孔分布均匀，孔径19.5mm。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#3．底板外形尺寸：250×60×5（mm），底板8个凹槽应与顶板8孔同心，孔深约2mm。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#4．插杆为长36mm，直径10mm，与底板孔对应成排。</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#1、全木制。漏斗架由漏斗板、支杆及底座三部分组成；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#2、漏斗板表面上有二个锥形孔，孔径约28mm；中部有一个台柱及孔，可以套在支杆上并用M6锁紧螺杆固定，板尺寸约195mm×60mm×13mm。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#3、支杆为Φ13×300mm。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#4、底座为长方形：约200mm×80mm×13mm，中部有一个台柱，台柱中间有一个不通的孔，孔与支杆配合适当。</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#1、与塑料多用滴管配套使用。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#2、外形尺寸：滴管架分上下两层，每层10个插孔，孔径15mm，每层孔板的正下方有对应的穴板，穴内承接滴管的吸泡，可使滴管站直站牢。孔板、穴板和两侧的撑架都可拆卸和安装。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#3.外形尺寸：215mm×55mm×55mm。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#1．输出电压：1.5V－9V直流稳压输出，每1.5V一档共六档。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#2.额定电流：1.5A。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#3.空载电压偏调：±（1％U标＋0.1V）。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#4.电压稳定性：输入电压在198V－242V间变化，在满载时各档输出电压变化量不大于0.1V。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#5.负载稳定性：输入电压保持220V不变，负载电流在0至满载范围内变化，各档输出电压变化量不大于1％U标＋0.1V。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#6.纹波电压：电源电压保持220V，满载时各档纹波电压不大于3mv（有效值）。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#7.过载保护：当输出电流在额定输出电流值的1.05－1.5倍间自动关断输出。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#8.短路保护：当输出电路短路时，仪器自动关断电压输出。工作电压：220V 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#9.机箱采用全塑料注塑成型，外形尺寸：190mm×160mm×95mm。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#1.笔式。测量范围：0～14.00pH。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#2.电源：3×1.5V（AG-13型</w:t>
            </w:r>
            <w:r>
              <w:rPr>
                <w:rFonts w:hint="eastAsia" w:ascii="宋体" w:hAnsi="宋体" w:cs="宋体"/>
                <w:i w:val="0"/>
                <w:iCs w:val="0"/>
                <w:color w:val="000000"/>
                <w:sz w:val="21"/>
                <w:szCs w:val="21"/>
                <w:u w:val="none"/>
                <w:lang w:val="en-US" w:eastAsia="zh-CN" w:bidi="ar"/>
              </w:rPr>
              <w:t xml:space="preserve">纽扣电池</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#3.校准方式：两点校准（PH4.01/6.86）。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#4.外形尺寸：150mm×30mm×15mm。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#1.使用电源电压：DC16～24V；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#2.底座（塑料）、玻管两支和锥形嘴等组成；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#3.电极为合金。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#4.玻管：外径15±1mm，长度260±3mm，容积约35mL；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#5.活塞密封性能良好。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#6.玻件应光洁透明，厚度不小于1mm，烧结口厚薄均匀，平整光滑牢固。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#7.底座稳固，外形尺寸：149mm×88mm×24mm。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#1.由透明塑料容器及盖、电极板（铜板、锌板、铝板各1块）和接线柱组成。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#2.容器为透明塑料注塑成型，盖为ABS塑料注塑成型，盖为黄色。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#3.电极板尺寸不小于60mm×15mm×1mm，每块板的短边上应安装有与接线柱连接的轴，轴的直径不大于4mm。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#4.接线柱为铜制，固定于盖上，电极板可插入接线柱孔中，用接线柱上的固定螺钉坚固，且可靠。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微型器件，由泡沫塑料定位包装。器材包括：烧杯50ml1个、试管2支、小酒精灯1个、玻璃尖管1根、玻璃弯管120度2个、直角弯管带塞1个、直角玻管3个、具支玻管2个、小漏斗1个、玻棒1根、蒸发皿1个、表面皿1个、玻璃瓶4个、药匙1个、水槽1个、多用滴管5个、井穴板2个、乳胶管1根、橡胶塞3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#1.产品由盛液显示柱、油酸、注射器5ml、底座组成。显示柱带底座为透明塑料注塑成型，容量不小于20mL，高度不小于100mm。底盘直径45mm。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#1.主要由溶液盒、电极、开关、灯座、灯泡组成。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#2.溶液盒为透明塑料制成，带盖，外形尺寸：78mm×44mm×50mm。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#3.电极为碳棒，直径3mm，长35mm。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84"/>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#1.为球球式，演示用，全塑料注塑成型。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#2．碳原子为黑色，直径22mm；四面6个、</w:t>
            </w:r>
            <w:r>
              <w:rPr>
                <w:rFonts w:hint="eastAsia" w:ascii="宋体" w:hAnsi="宋体" w:cs="宋体"/>
                <w:i w:val="0"/>
                <w:iCs w:val="0"/>
                <w:color w:val="000000"/>
                <w:sz w:val="21"/>
                <w:szCs w:val="21"/>
                <w:u w:val="none"/>
                <w:lang w:val="en-US" w:eastAsia="zh-CN" w:bidi="ar"/>
              </w:rPr>
              <w:t xml:space="preserve">三面</w:t>
            </w:r>
            <w:r>
              <w:rPr>
                <w:rFonts w:hint="eastAsia" w:ascii="宋体" w:hAnsi="宋体" w:eastAsia="宋体" w:cs="宋体"/>
                <w:i w:val="0"/>
                <w:iCs w:val="0"/>
                <w:color w:val="000000"/>
                <w:sz w:val="21"/>
                <w:szCs w:val="21"/>
                <w:u w:val="none"/>
                <w:lang w:val="en-US" w:eastAsia="zh-CN" w:bidi="ar"/>
              </w:rPr>
              <w:t xml:space="preserve">14个、二面2个。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#3.氢原子为橙色，带键脚，直径15mm，共20个。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#4.氧原子为天蓝色，直径22mm；二面3个，一面2个。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#5.氮原子为深蓝色，直径22mm，四面1个、三面1个、二面1个、一面2个。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#6.硫原子为淡黄，直径22mm，二面1个。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#7.氯原子草绿，直径22mm，一面2个。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#8.金属为银灰，直径22mm，六面1个。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#9.塑料单键20个，塑料双键10个。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#1.学生用，小型。可组装成</w:t>
            </w:r>
            <w:r>
              <w:rPr>
                <w:rFonts w:hint="eastAsia" w:ascii="宋体" w:hAnsi="宋体" w:cs="宋体"/>
                <w:i w:val="0"/>
                <w:iCs w:val="0"/>
                <w:color w:val="000000"/>
                <w:sz w:val="21"/>
                <w:szCs w:val="21"/>
                <w:u w:val="none"/>
                <w:lang w:val="en-US" w:eastAsia="zh-CN" w:bidi="ar"/>
              </w:rPr>
              <w:t xml:space="preserve">金刚石</w:t>
            </w:r>
            <w:r>
              <w:rPr>
                <w:rFonts w:hint="eastAsia" w:ascii="宋体" w:hAnsi="宋体" w:eastAsia="宋体" w:cs="宋体"/>
                <w:i w:val="0"/>
                <w:iCs w:val="0"/>
                <w:color w:val="000000"/>
                <w:sz w:val="21"/>
                <w:szCs w:val="21"/>
                <w:u w:val="none"/>
                <w:lang w:val="en-US" w:eastAsia="zh-CN" w:bidi="ar"/>
              </w:rPr>
              <w:t xml:space="preserve">、石墨、碳60三种结构模型。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#2.球体直径8mm，为黑色。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#3.连接管均为透明塑料管，管长约22mm，管孔与球体键配合适宜。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#1.红液，0～100℃。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#1.水银，0～200℃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#1.贮气装置用优质透明塑料和ABS工程塑料注塑成型、表面清晰、无划痕、气泡、飞边等现象。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#2.贮气装置外形尺寸：直径160mm,高200mm。表面标有刻度线，最小刻度200mL，容量3000mL。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#3.各焊接部位牢固、密封、无漏气现象。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#1、止水夹</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#1、酸式，25mL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#1、碱式，25mL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#1、Φ12mm×70mm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#1、Φ18mm×180mm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#1、Φ20mm×200mm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#1、Φ32mm×200mm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#1、Φ20mm×200mm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#1、Φ20mm×250mm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#1、圆、长，250mL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#1、平、长，250mL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#1、抽气用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#1、直固，300mm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#1、弯形，Φ18mm×150mm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#1、直形</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#1、双球</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#1、锥形，100mL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#1、梨形，50mL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#1、直径Φ7－8mm，直通管长度100mm，垂直管长度50mm。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弯管长：50mm±5mm；支管长：50mm±5mm；管厚：1±0.2mm；管径：Φ7mm－8mm；全高：100mm±5mm。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弯管角度：60º±3º。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由玻璃滴管和胶头组成。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规格：150mm；管身Φ7mm－8mm；管全长：150mm±10mm；喇叭口Φ10mm±1mm。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球距上管口长：50mm±5mm。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#1、单球，150mm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#1、U型，Φ15mm×150mm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#1、直形</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#1、Φ200mm×100mm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#1、Φ270mm×140mm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#1、Φ150mm×280mm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#1、茶，1000mL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#1、茶，30mL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#1、内6mm外10mm  产品用天然橡胶制造。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止水夹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#1、瓷，30mL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#1、产品钢制，表面电镀处理。总长度约220mm。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#2、钳子的夹持端为弯头，端头应有齿纹，便于夹住物体，吻合一致。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产品用厚度为2㎜的不锈钢板制造。总长度为300mm，宽度为20㎜。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产品制作应光滑、平整、无缺陷。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产品的夹持端为菱形，吻合应一致。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镊子用不锈钢板材制成。镊子的宽度不小于9mm，镊子的长度为160±5mm。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镊子制作应光滑、平整、无缺陷。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镊子的夹持端应有齿纹，便于夹住物体，吻合一致，弹性好。</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#1、产品为竹制品。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#2、长度170mm，宽度12mm，厚度7.5mm。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#3、试管夹弹簧有足够弹性，作防锈处理。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#1.产品用直径Φ1.5mm的钢丝制成。应作防锈处理。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#2.产品制作应光滑、平整、无缺陷。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#3.产品的夹持角度不小于60º。夹子的夹持应可靠，吻合好，弹性好。</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#1.产品用钢材制成，应作防锈处理。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#2.产品制作应光滑、平整、无缺陷。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#3.产品的夹持范围最大应不小于20mm，夹子的夹持应可靠，吻合好。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#4.螺母与螺杆螺纹应吻合好，旋动轻便，不应有卡死现象。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#1.产品由金属网和附在网上的石棉组成。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#2.金属网由Φ0.1mm左右的钢丝编织而成，密度均匀，织网密度间距不大于2mm，金属网为边长不小于100mm的正方形，边缘应作卷边处理，不散网、不翘丝。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#3.金属网上所附石棉圈为双面附着的正圆形，直径不小于Φ100mm，厚度为3mm左右，要求不散、不裂、不脱落。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#4.整体应平整、美观，不翘角。</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#1．产品由半圆面和金属丝结合制成。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#2．半圆面为铜材制造，直径Φ为20mm左右。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#3．金属丝约用Φ2mm的钢丝或铁丝制造，长度为240mm左右。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#1.药匙采用塑料制成。药匙的宽度约10mm，长度为120±5mm。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#2.产品制作应光滑、平整、无</w:t>
            </w:r>
            <w:r>
              <w:rPr>
                <w:rFonts w:hint="eastAsia" w:ascii="宋体" w:hAnsi="宋体" w:cs="宋体"/>
                <w:i w:val="0"/>
                <w:iCs w:val="0"/>
                <w:color w:val="000000"/>
                <w:sz w:val="21"/>
                <w:szCs w:val="21"/>
                <w:u w:val="none"/>
                <w:lang w:val="en-US" w:eastAsia="zh-CN" w:bidi="ar"/>
              </w:rPr>
              <w:t xml:space="preserve">毛刺</w:t>
            </w:r>
            <w:r>
              <w:rPr>
                <w:rFonts w:hint="eastAsia" w:ascii="宋体" w:hAnsi="宋体" w:eastAsia="宋体" w:cs="宋体"/>
                <w:i w:val="0"/>
                <w:iCs w:val="0"/>
                <w:color w:val="000000"/>
                <w:sz w:val="21"/>
                <w:szCs w:val="21"/>
                <w:u w:val="none"/>
                <w:lang w:val="en-US" w:eastAsia="zh-CN" w:bidi="ar"/>
              </w:rPr>
              <w:t xml:space="preserve">、无缺陷。</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#1.Φ5～Φ6mm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#1.Φ7～Φ8mm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#1.Φ3～Φ4mm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#1.Φ5～Φ6mm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#1.产品用天然橡胶制造，白色。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#2.每包软胶塞由0~10号的胶塞组成，要求搭配合理。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#1.产品用优质天然橡胶制造。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#2.产品内径为7~8mm，壁厚1mm。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#1.产品用优质乳胶制造。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#2.产品内径为5~7mm。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#1.产品由金属丝和绞合在其上的猪鬃毛制成，大、中、小各一个。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#2.金属丝用约Φ1.5mm左右的镀锌铁丝2根绞合，总长度不小于200mm。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#3.制成的试管刷要求不散、不脱毛。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#1.产品由金属丝和绞合在其上的猪鬃毛制成。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#2.金属丝用约Φ1.5mm左右的镀锌铁丝2根绞合，总长度不小于200mm。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#3.制成的烧瓶刷呈鼓形，最大直径约Φ60mm，长度约100mm，要求不散、脱毛。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#1、瓷，90mm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#1、瓷，100mm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#1、至少6穴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#1、产品为透明塑料注塑料成型。9孔，0.7mL×9。整体外形尺寸：115mm×11mm×15mm。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#1、产品为透明塑料注塑料成型。6孔，5mL×6。整体外形尺寸：80mm×55mm×22mm。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#1、1ml、2ml、3ml、5ml、10ml各20个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铝片</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铝箔</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铝丝</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镁条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锌粒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还原铁粉</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铁丝</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紫铜片</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铜丝</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铜粉</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三氧化二铁</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氧化铜</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无水氯化钙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氯化镁</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三氯化铁</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碘化钾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硫酸铝</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硫酸铜(蓝矾、胆矾)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硫酸铝钾(明矾)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无水硫酸铜</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大理石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#粒状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碳酸氢铵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碱式碳酸铜</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氧化钙(生石灰)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氢氧化钙(熟石灰)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碱石灰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蔗糖</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#1.95%浓度酒精试剂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石蕊</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#指示剂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酚酞</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#指示剂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pH广范围试纸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蓝石蕊试纸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红石蕊试纸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硝酸钡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硝酸银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硫粉</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#1、黄铜片、蜡烛、剪刀、焊锡丝、炭棒2根、导线两色各1米、电灯泡（220V、25W）、木板、电珠（1.5V、2.5V、3.8V、4.8V、6.2V各2只）、砂纸。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#1、Φ4.5mm胶柄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#1、Φ4.5mm胶柄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#1、规格：150mm，镀铬双色塑柄，45﹟钢；</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#1、0.5kg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#1、平中齿，150mm，带手柄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#1、民用，150mm，尖头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#1、产品由内丝旋套（塑料制）及塑料手柄带螺旋钢丝组成。供开启玻璃瓶口的软木塞。</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#1、纯白色，由布料制成，长度不小于90cm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#1、防机械冲击，全塑料制，侧面完全遮挡。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#1.产品由透明有机玻璃和帽架组成。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#2.面罩应清洁透明，应无波纹、无划伤、裂纹。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#3.帽架应采用韧性好的材料制作，不易拆断、变形。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#4.面罩与帽架的连接应牢固可靠。帽架系带应</w:t>
            </w:r>
            <w:r>
              <w:rPr>
                <w:rFonts w:hint="eastAsia" w:ascii="宋体" w:hAnsi="宋体" w:cs="宋体"/>
                <w:i w:val="0"/>
                <w:iCs w:val="0"/>
                <w:color w:val="000000"/>
                <w:sz w:val="21"/>
                <w:szCs w:val="21"/>
                <w:u w:val="none"/>
                <w:lang w:val="en-US" w:eastAsia="zh-CN" w:bidi="ar"/>
              </w:rPr>
              <w:t xml:space="preserve">易于</w:t>
            </w:r>
            <w:r>
              <w:rPr>
                <w:rFonts w:hint="eastAsia" w:ascii="宋体" w:hAnsi="宋体" w:eastAsia="宋体" w:cs="宋体"/>
                <w:i w:val="0"/>
                <w:iCs w:val="0"/>
                <w:color w:val="000000"/>
                <w:sz w:val="21"/>
                <w:szCs w:val="21"/>
                <w:u w:val="none"/>
                <w:lang w:val="en-US" w:eastAsia="zh-CN" w:bidi="ar"/>
              </w:rPr>
              <w:t xml:space="preserve">调整松紧。</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#1．直接式防毒口罩。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#2．由主体、滤毒盒、滤毒材料、吸气阀和系带组成。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#3．口罩能完全罩住口、鼻不漏气。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#4．系带可调节松紧。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#5．防毒时间不小于45分钟。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#6．有关口罩的数据： 口罩重量：≤300g；呼气阻力：≤49Pa；吸气阻力：≤20Pa；泄漏率：≤2%；下方视野：&gt;35º。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#1、乳胶，优质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#1.产品为橡胶制品，长袖口带五指套。袖长不短于20cm.。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#2.应耐强酸、强碱及氧化剂、还原剂等化学药品试剂的腐蚀，并结实耐用。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#3.冬季不得发硬，夏季不得粘连。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#4.各部位应完整严密，无开裂和小孔。</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#1.玻璃制品。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#2.符合卫生器械的规定。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#3.方便冲洗眼睛使用。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简易急救箱</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急救箱内应配备以下药品及器材：酒精棉球1瓶；红霉素软膏1支；甲紫溶液1瓶；碘酒1瓶；医用脱脂纱布1包；医用棉签1包；医用绷带1卷；橡皮胶1卷；创可贴10条；旅行剪刀1把；镊子1把。塑料箱1个。碳酸氢钠溶液1瓶。硼酸溶液1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#1.产品为三片折叠式结构，由透明度好的有机玻璃制造。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#2.尺寸300mm×290mm一块，尺寸300mm×145mm二块，厚度不小于2mm。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#3.防护屏支撑牢靠，平稳。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#4.合叶与屏板连接牢靠，经多次开合不得脱落。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木炭、植物油、面粉、味精、食醋、洗洁精、铁钉、棉花、牛奶、鸡蛋等</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#1、木炭、植物油、面粉、味精、食醋、</w:t>
            </w:r>
            <w:r>
              <w:rPr>
                <w:rFonts w:hint="eastAsia" w:ascii="宋体" w:hAnsi="宋体" w:cs="宋体"/>
                <w:i w:val="0"/>
                <w:iCs w:val="0"/>
                <w:color w:val="000000"/>
                <w:sz w:val="21"/>
                <w:szCs w:val="21"/>
                <w:u w:val="none"/>
                <w:lang w:val="en-US" w:eastAsia="zh-CN" w:bidi="ar"/>
              </w:rPr>
              <w:t xml:space="preserve">洗洁精</w:t>
            </w:r>
            <w:r>
              <w:rPr>
                <w:rFonts w:hint="eastAsia" w:ascii="宋体" w:hAnsi="宋体" w:eastAsia="宋体" w:cs="宋体"/>
                <w:i w:val="0"/>
                <w:iCs w:val="0"/>
                <w:color w:val="000000"/>
                <w:sz w:val="21"/>
                <w:szCs w:val="21"/>
                <w:u w:val="none"/>
                <w:lang w:val="en-US" w:eastAsia="zh-CN" w:bidi="ar"/>
              </w:rPr>
              <w:t xml:space="preserve">、铁钉、棉花</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静电仪</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#1、测量范围：0-±20KV；分辨率：低范围±0.1KV;高范围士1KV；测量误差：±10；尺寸规格：165*25*115MM/200G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温湿度仪</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#1、温度范围：-40~80℃（可外接探头-40~120℃/-40~125℃），湿度范围：0~99.9%RH；精度：温度：±0.3℃（25℃)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湿度：±2%RH（60%RH)；供电电压：5V1.5A供电；通讯接口：支持WIFI无线通讯接口，支持连接2.4GHz wif网络，数据缓存：5万条数据缓存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(循环储存)；尺寸：20*30*3cm，电源线长1米。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有毒气体检测仪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#1、复合式多气体检测仪，2.0英寸LCD液晶屏，尺寸：130*67*30mm；采样方式：自然扩散式；报警方式：声音、振动、灯光等三重报警方式。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#1、48CM+13CM，干粉灭火剂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#1、尺寸：2*2m，使用温度：800℃，材质：玻璃纤维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消防沙箱配铲子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#1、外形尺寸：40*40*40，箱体厚度：0.4mm，容积：0.06m³，箱体材质：铁，颜色：红色；铲子：V型铲尖。</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危废品分集桶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#1、22.6L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安全信息牌</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#1、PVC塑料板，30*20cm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浓盐酸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ml</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浓硫酸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ml</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高锰酸钾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红磷</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#化学药品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化学实验废水处理装置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#1.主体透明，能进行pH测试、酸碱废液中和、重金属凝聚和过滤，兼作教学使用；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#2.能处理中学常见无机化学废液，同时可以通过仪器内的活性炭吸附少量混入的有机物；应配备适量的凝聚剂和助凝剂，至少应配备更换用活性炭包1个，处理量≥6L/次；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172"/>
        <w:gridCol w:w="6793"/>
        <w:gridCol w:w="705"/>
        <w:gridCol w:w="72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6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AF-初中生物仪器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3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教师演示仪器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#1、采用优质钢材，防锈处理。穿孔管用外径为6mm、8mm、10mm，壁厚1mm的冷拔无缝钢管，手柄用3mm厚低碳钢板，通用条Ф2.8mm碳素钢等制成。四件为一套，可穿4mm、6mm、8mm的圆孔。</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产品结构：整体采用钢管做车架，有两层托盘，每层托盘三周有护栏围杆，四底脚有万向轮，小车两端有推拉扶手。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尺寸不小于：(长)600mm×(宽)400mm×(高)800mm ，车体加载30</w:t>
            </w:r>
            <w:r>
              <w:rPr>
                <w:rFonts w:hint="eastAsia" w:ascii="宋体" w:hAnsi="宋体" w:cs="宋体"/>
                <w:i w:val="0"/>
                <w:iCs w:val="0"/>
                <w:color w:val="000000"/>
                <w:sz w:val="21"/>
                <w:szCs w:val="21"/>
                <w:u w:val="none"/>
                <w:lang w:val="en-US" w:eastAsia="zh-CN" w:bidi="ar"/>
              </w:rPr>
              <w:t xml:space="preserve">kg</w:t>
            </w:r>
            <w:r>
              <w:rPr>
                <w:rFonts w:hint="eastAsia" w:ascii="宋体" w:hAnsi="宋体" w:eastAsia="宋体" w:cs="宋体"/>
                <w:i w:val="0"/>
                <w:iCs w:val="0"/>
                <w:color w:val="000000"/>
                <w:sz w:val="21"/>
                <w:szCs w:val="21"/>
                <w:u w:val="none"/>
                <w:lang w:val="en-US" w:eastAsia="zh-CN" w:bidi="ar"/>
              </w:rPr>
              <w:t xml:space="preserve">重物后，应推拉灵活，车体无变形。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每层托盘有防振结构。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车体底脚万向轮转动灵活，结实耐用。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表面不应有明显的凹痕、裂缝、变形等缺陷。表面涂镀层应均匀，不应起泡、龟裂、脱落和磨损。金属零部件不应有锈蚀及其他机械损伤。</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#1、组成：镜座、镜臂、镜筒、准焦螺旋、物镜转换器、载物台、移动标尺、反光镜、目镜、物镜等。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#3、消色差物镜：10×/0.25、40×（弹）/0.65、100×（弹、油）/1.25。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#4、惠更斯目镜：H5×、H10×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物镜转换器</w:t>
            </w:r>
            <w:r>
              <w:rPr>
                <w:rFonts w:hint="eastAsia" w:ascii="宋体" w:hAnsi="宋体" w:eastAsia="宋体" w:cs="宋体"/>
                <w:i w:val="0"/>
                <w:iCs w:val="0"/>
                <w:color w:val="000000"/>
                <w:sz w:val="21"/>
                <w:szCs w:val="21"/>
                <w:u w:val="none"/>
                <w:lang w:val="en-US" w:eastAsia="zh-CN" w:bidi="ar"/>
              </w:rPr>
              <w:t xml:space="preserve">三孔同心，定位准确。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#6、镜头采用高品质光学玻璃材料。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#7、反光镜一面为平面，一面为凹面，¢50mm。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#8、载物台：单层方平台，移动尺，120mm×120mm。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#9、移动尺调节范围：纵向30mm,横向60mm。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#10、聚光镜：阿贝聚光镜，NA=1.25,可变光阑。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#11、整机机架为金属制作，镜座应为铸铁制作。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#12、所有齿轮、齿条为黄铜制造，稳定、牢固、耐用，不应有自行下滑现象。目镜轨道，有上下卡位装置。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#13、每台一个专用木箱包装，并用螺钉固定。木箱箱体表面涂漆，做防潮处理。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#14、技术要求符合GB/T2985-2008的相关规定。外观应符合JY0001-2003《教学仪器设备产品一般质量要求》要求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#1．产品由镜座、镜臂、镜筒、准焦螺旋、物镜转换器、载物台、反光镜、目镜、物镜等组成；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#2．除调焦手轮和镜片外，整体采用金属材料制造；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#3．放大倍率：500×或 640×；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#4．消色差物镜：10×、40×、4×；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#5．单目 45°，斜筒，可 360°旋转；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#6．惠更斯目镜：12．5 或 16×，广角：10×；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#7．反光镜一面为平面，一面为凹面；反光镜直径为 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#8．粗动调焦范围为 23mm，微动调焦范围 1．8-2．2mm；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#9．移动尺：纵向调节范围：≥25mm，横向调节范围：≥50mm；游标读数精度：0．1mm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教师用生物数码显微镜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整机一体化设计，自带液晶屏，无需部件组装，接上电源即可使用；符合人机工程学，低重心底座，数据接口及电源接口在仪器底座背面，确保整体刚性和稳定性，仪器净重≥8kg,仪器高度≤60cm；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#2.无限远平场消色差物镜：4X、10X、20X、40X、100X;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#3.广视场目镜：2个，WF10×，≥φ20mm，大视场、高眼点、双筒屈光度可调；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#4.照明装置：内置LED底光源 、内置LED侧光源；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#5.载物台：双层移动式载物台，双切片夹，X、Y同轴调节，片夹可同时夹持两块切片，方便对比观察。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#6.调焦机构：粗微动同轴调焦，左右两侧均有粗调与微调手轮， 调焦行程（载物台升降行程）≥50mm，有防滑装置；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#7.具有实体显微镜功能，可观察生物装片，又可观察实体；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#8.具有在观察画面上进行标注的功能，支持使用涂鸦、直线、圆形、文字等方式标注，并生成图片保存；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#9.具有坐标测量和定点测量功能；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#10.电源：外置电源适配器，AC输入，DC输出，输出电压为安全电压；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#11.仪器底座设置有液晶显示调光系统，可通过一键式按压旋钮实现光源切换，亮度调整以及开关机，指示屏支持亮度级别显示、中文光源提示等功能。</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学生端生物数码显微镜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#1.便携一体式智能平板电脑输出：多点触摸屏，静态拍照分辨率4608X3456；LCD尺寸≧10.1英寸；内存容量≧2G;存储容量≧8G；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#2.操作系统：Android 10以上操作系统或其他操作系统；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#3.一体化数码成像系统： IPS高清硬屏，10.1英寸彩色高清液晶屏，真实色彩还原，CPU: 1.8GHz 四核，屏幕硬件分辨率：1080p，拍照像素：500万像素以上,支持4K视频录制,录像分辨率1080P/15FPS以上，超高清成像装置，画面无拖尾延迟现象，1080P HDMI高清数字信号输出；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#5.显微镜及显示屏为一体的电源，电源适配器规格：DC12V 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#6.可外接10000mAh以上电池组件供电，可连续使用5-8小时；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#7.双目镜筒，三目倾斜30°，视度可调节，双目瞳距：48-75 mm，可360度旋转观察，0.5X带光学玻璃摄像接筒；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#8.物镜转换器：四孔转换器，转动舒适，响声定位明晰，转换器稳定性≤0.010mm；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#9.显微镜底座装有液晶显示屏，可以显示ECO,亮度，底光源，侧光源，电池容量；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#10.照明电光源：透射光源：长寿命、高亮度复眼透镜1W LED灯，节能、绿色、环保；</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网络版数码互动控制软件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#1.安装部署快捷，升级简易方便，全中文人性化界面设计，支持主窗口功能按钮、浮动工具条、右键菜单、快捷键多项操作方式。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无线网络环境下最多可以支持60个用户，并且可以达到和有线网络环境相同的效果。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核心的动态局部截屏及实时压缩技术，在网络条件较差时亦能体现良好的性能；可根据网络条件调节网络补偿强度，根据广播内容调节广播及录制效率，使广播达到最佳效果，即使广播多媒体课件，3D，甚至大型游戏界面，也可达到实时流畅的效果，支持DirectDraw、Direct3D、 Overlay、OpenGL等特殊显示方式。屏幕广播响应时间&lt;0.4秒。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#3.采用流媒体技术，流畅无延时，支持几乎所有常见的媒体音视频格式，Windows Media文件，VCD文件，DVD文件， AVI文件，MP3等主流文件格式，支持720p、1080p的高清视频。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教师专业图像软件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#1．图像采集与存储：可以兼容标准的USB。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#2．常规的图像处理功能：图像缩放、彩色转灰度、反相、图像叠加运算及景深扩展功能、直方图均衡，各种和形态学有关的滤镜如：中值滤波、腐蚀、膨胀、锐化、加噪声、图像柔化等功能。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区域操作、处理、分析功能：对选择区域进行分析、 处理，并且可以导出灰度或者是二值图。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灵活的定标功能：可以设定几组定标值供选择，更改定标值后各测量数据会自动变化。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图像标注、测量功能：文字、箭头、各种形状的标注框，直线、折线、任意直线、周长、面积、角度等的测量，支持动态视频测量。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图像识别和分析功能：灰度、RGB分量的彩色分割，并且显示灰度直方图，可以完成图像的自动分割。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图像的多层分割：可以在一幅图片上实现多层的分割，并且没有层数的限制，各层计算的数据可以分别显示并统计。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分割修正功能：孔洞填充、边缘平滑以及压框不计，提供区域或者是点的擦除功能，提供断开和连接功能。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颗粒删除功能：可以根据对象的各种形态参数对需要的目标进行筛选。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计算形态参数：可以得出几何参数、位置参数、当量几何参数、外接几何参数、光密度参数、形态学参数，以及相关其他参数。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便捷的结果输出：支持所有结果输出到Word、Excel。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学生端图像软件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#1、图像采集与存储：可以兼容标准的USB。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#2、常规的图像处理功能：图像缩放、彩色转灰度、反相、锐化、图像柔化等功能。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#3、区域操作、处理、分析功能：对选择区域进行分析、 处理，并且可以导出灰度或者是二值图。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#4、灵活的定标功能：可以设定几组定标值供选择，更改定标值后各测量数据会自动变化。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#5、图像标注、测量功能：文字、箭头、各种形状的标注框，直线、折线、任意直线、周长、面积、角度等的测量，支持动态视频测量。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网络交换机及系统集成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#1、系统集成及现场培训，支持30个以上学生端，传输速度快、稳定、可靠；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#2、网络标准：802.11ac；支持MU-MIMO；</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#3、数据传输率：》1300Mbps；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#4、频率范围：2.4G&amp;5G；独立的2.4GHz&amp;5GHz硬件加速；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#5、天线：扩展2至4倍的信号覆盖范围自动干扰规避、优化，适合高密度的环境集成智能天线阵列，具备300多种独特模式，具有超高可靠性 高达4dB的信号增益和-10dB的干扰抑制；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#6、安全性能：无线入侵防御系统。Wi-Fi保护协议(WPA2-PSK，WPA-PSK，WEP)。</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#1、目镜：大视野广角WF16X13mm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#2、物镜：4X、10X、40X（弹簧）消色差物镜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#3、镜筒：单目观察筒，45度倾斜，360度旋转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#4、转换器：三孔转换器，保证齐焦，转换器稳定性≤0.025mm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#5、载物台：金属平台，平台面积110X120mm。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#6、聚光镜：单片聚光镜，数值孔径N.A0.65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#7、光源：LED高亮度光源，带充电功能，亮度可调，可与反光镜互换。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双目立体显微镜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材料要求:底座、镜臂、齿条、物镜和目镜镜筒均为金属制。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总放大倍数：20-40倍。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目镜:WF10X。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物镜：变倍筒物镜:2X-4X分档变倍物镜组。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调焦范围: 40mm。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行程范围:90mm。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#7.照明：自然光。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#8.符合GB/T2985-1995《生物显微镜》。木箱包装。</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 r/min～4000r/min，离心率：17000，容量：20ml*6,定时：min0-60,功率：大于120.无刷电机。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#1.产品为组合式，主要由齿轮变速箱1套，转台1套，试管4个组成。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#2.齿轮变速箱：（1）变速箱用优质工程塑料ABS制作.变速齿轮比例不小于1:2.下部有固定装置，</w:t>
            </w:r>
            <w:r>
              <w:rPr>
                <w:rFonts w:hint="eastAsia" w:ascii="宋体" w:hAnsi="宋体" w:cs="宋体"/>
                <w:i w:val="0"/>
                <w:iCs w:val="0"/>
                <w:color w:val="000000"/>
                <w:sz w:val="21"/>
                <w:szCs w:val="21"/>
                <w:u w:val="none"/>
                <w:lang w:val="en-US" w:eastAsia="zh-CN" w:bidi="ar"/>
              </w:rPr>
              <w:t xml:space="preserve">上部</w:t>
            </w:r>
            <w:r>
              <w:rPr>
                <w:rFonts w:hint="eastAsia" w:ascii="宋体" w:hAnsi="宋体" w:eastAsia="宋体" w:cs="宋体"/>
                <w:i w:val="0"/>
                <w:iCs w:val="0"/>
                <w:color w:val="000000"/>
                <w:sz w:val="21"/>
                <w:szCs w:val="21"/>
                <w:u w:val="none"/>
                <w:lang w:val="en-US" w:eastAsia="zh-CN" w:bidi="ar"/>
              </w:rPr>
              <w:t xml:space="preserve">有转轴，正面有手摇装置。（2）组装后的齿轮箱应固定方便、转动灵活。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#3.转台用金属制作，螺钉固定，4等分均匀分布试管环，试管环应能360°转动，表面镀锌防锈处理。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#1、搅拌容量：不小于500ml；搅拌速度：无级调速0—2000转/分；外形尺寸不小于260mm×165mm×120mm；工作电压：220V/50Hz。</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#1、结构为座式。纯铜制作，壁厚均不得低于1mm，火焰温度不低于1200摄氏度。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#2、产品为组合式，主要由壶体、燃杯、壶嘴、喷管、火苗调节杆、钢针组成。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#3、壶体外形尺寸：直径100mm±2mm，高135mm±2mm，容量250ml，组合后应摆放平稳，左右调节,调节方便。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#4、喷管与壶体连接螺纹、壶体密封盖无漏气现象。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#5、焊接部位应焊接牢固、光滑。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电炉</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#1、有效加热面积不小于15*15cm，密封式,额定电压 ＡＣ 220Ｖ±5％ 50Ｈz ＋5,消耗功率  1000Ｗ。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高压灭菌锅</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#1、容量≥18L;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#2、304不锈钢材质；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#3、智能显示数控；</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#1、仪器主要由蒸发锅、冷凝器、电器配置三大部分组成。不锈钢薄板滚压，延伸，焊接成形，工作电压220V，50Hz，功率2</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,出水量每小时2L；仪器部分由水源阀，回水管冷凝冷却器，进水控制器，玻璃水位器，蒸发锅，放水阀，蒸馏水出水皮管。电源线组成，电器部分由电源开关、</w:t>
            </w:r>
            <w:r>
              <w:rPr>
                <w:rFonts w:hint="eastAsia" w:ascii="宋体" w:hAnsi="宋体" w:cs="宋体"/>
                <w:i w:val="0"/>
                <w:iCs w:val="0"/>
                <w:color w:val="000000"/>
                <w:sz w:val="21"/>
                <w:szCs w:val="21"/>
                <w:u w:val="none"/>
                <w:lang w:val="en-US" w:eastAsia="zh-CN" w:bidi="ar"/>
              </w:rPr>
              <w:t xml:space="preserve">熔</w:t>
            </w:r>
            <w:r>
              <w:rPr>
                <w:rFonts w:hint="eastAsia" w:ascii="宋体" w:hAnsi="宋体" w:eastAsia="宋体" w:cs="宋体"/>
                <w:i w:val="0"/>
                <w:iCs w:val="0"/>
                <w:color w:val="000000"/>
                <w:sz w:val="21"/>
                <w:szCs w:val="21"/>
                <w:u w:val="none"/>
                <w:lang w:val="en-US" w:eastAsia="zh-CN" w:bidi="ar"/>
              </w:rPr>
              <w:t xml:space="preserve">断丝、接连板、电热管、指示灯、接地装置组成。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#1、容器孔数：2孔。</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#2、外形尺寸：380mm*170mm*160mm.工作室尺寸：长240mm*宽140mm*深100。工作室容积：3.4L.加热功率：500W.温控</w:t>
            </w:r>
            <w:r>
              <w:rPr>
                <w:rFonts w:hint="eastAsia" w:ascii="宋体" w:hAnsi="宋体" w:cs="宋体"/>
                <w:i w:val="0"/>
                <w:iCs w:val="0"/>
                <w:color w:val="000000"/>
                <w:sz w:val="21"/>
                <w:szCs w:val="21"/>
                <w:u w:val="none"/>
                <w:lang w:val="en-US" w:eastAsia="zh-CN" w:bidi="ar"/>
              </w:rPr>
              <w:t xml:space="preserve">范围</w:t>
            </w:r>
            <w:r>
              <w:rPr>
                <w:rFonts w:hint="eastAsia" w:ascii="宋体" w:hAnsi="宋体" w:eastAsia="宋体" w:cs="宋体"/>
                <w:i w:val="0"/>
                <w:iCs w:val="0"/>
                <w:color w:val="000000"/>
                <w:sz w:val="21"/>
                <w:szCs w:val="21"/>
                <w:u w:val="none"/>
                <w:lang w:val="en-US" w:eastAsia="zh-CN" w:bidi="ar"/>
              </w:rPr>
              <w:t xml:space="preserve">：室温~100℃.温控精度：±1℃/min.电源：交流220V/50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。微电脑恒温数显，内锅中的不锈钢管内装有热敏电阻，控温部分选用电子控温，温度数显直接显示锅实际温度。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#1、材质：外壳采用冷轧钢板制造，表面静电喷塑；内胆为优质不锈钢材料制成；                                                                                              </w:t>
            </w:r>
            <w:r>
              <w:rPr>
                <w:rFonts w:hint="eastAsia" w:ascii="宋体" w:hAnsi="宋体" w:eastAsia="宋体" w:cs="宋体"/>
                <w:i w:val="0"/>
                <w:iCs w:val="0"/>
                <w:color w:val="000000"/>
                <w:sz w:val="21"/>
                <w:szCs w:val="21"/>
                <w:u w:val="none"/>
                <w:lang w:val="en-US" w:eastAsia="zh-CN" w:bidi="ar"/>
              </w:rPr>
              <w:t xml:space="preserve">                                         #2、系统具有控温、定时和超温报警等功能；                                                                                                                                                                          #3、电源电压：AC220±10%（50Hz）；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#4、控温范围：室温～120℃；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#5、显示精度0.1℃(＞100℃显示精度为1℃)；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#6、温度波动性：≤±1℃；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#7、设有玻璃观察窗，便于观察，智能数显控；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#8、符合JB/T 20111-2008《烘干箱》的有关规定。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电冰箱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#1、效容积大于160L。符合中华人民共和国机械工业部标准《电冰箱基本性能测试方法》JB3633-84的规定及GB/T8059.2的要求。其他：符合教育部标准JY0001-2003《教学仪器设备一般质量要求》的有关要求。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#1、自然对流式通风结构，电子控温仪控制温度。 控温范围20℃-60℃。温度波动允差：不大于1℃。温度均匀性允差：±1℃等应符合中华人民共和国国家标准GB4998-85《电热恒温培养箱》的规定。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光照培养箱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#1、容积：250L；光照强度：0lx～12000lx分级可调；控温范围：10℃～50℃(有光照)；温度波动性：±1℃；温度均匀度：±2℃。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超净工作台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#1、双人单面，垂直送风，100级，送风风速：O.3m/s～0.6m/s可调。</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#1、1L～2L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#1．尺寸不小于380mm×240mm×450mm（长×宽×高）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#2.玻璃材质，带灯和充氧泵。</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#1、产品由底座、立杆及附件组成。方座支架的底座由铸铁制成，质量不小于1.5kg。立杆直径不小于φ10mm；立杆长610mm，直径不小于10mm，表面镀铬，立杆与方座组装后应垂直。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由大、小铁圈各一只，平行夹一只，铸铁十字夹二只，试管夹一只构成。整套产品应有足够的平稳度，底座耐碱。采用钢材，防锈处理及表面环保油漆涂层精制而成。产品应符合JY167-84《方座支架》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#1．最大称量200g，分度值0.2 g。 秤量允许误差为±0.5d(分度值)。油漆件表面应平整光滑，色泽均匀，不应有露底、起泡、挂漆、擦伤等缺陷。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感温物质：水银。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尺寸要求不小于：长300mm；外径：5mm；头：10mm。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测量范围：0－200℃。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玻璃应光洁透明，不得有裂痕。毛细管不得有明显的弯曲现象，其孔径应均匀，管壁内应清洁无杂质。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感温液体（水银）必须纯洁、无杂质。液线不得中断。上升时不得有停滞和跳跃现象；下降时不得在管壁上留下液滴。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产品应符合《玻璃仪器通用技术要求》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#7．要符合技术标准的要求JJG 130《温度计》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本产品为普通医用汞柱式血压计。产品由刻度盛水银的玻璃管、橡皮管、橡皮囊袖带、打气球等组成。产品应符合国标《血压计》的质量规定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肺活量计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容器、吹嘴、塑料软管组成，一次性吹塑而成。容器容量不小于5.5L，外形尺寸：直径：≥140mm，高度≥370mm，表面印有0.1～5.5L的标记。吹嘴外形Y形状，吹气口表面圆滑。塑料软管与软气嘴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#1、不锈钢材料，7件(大、小剪刀，大、小镊子，解剖刀，解剖针，弯头镊)，大剪刀长度不小于15cm，其余与之匹配。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骨剪</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产品用不锈钢制造。总长度不小于120mm。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剪刀尖部两叶头应交叉吻合、平整，刃口在经剪切细骨后应无缺损。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剪刀的弹片应用优质钢簧制成，弹性适宜。弹片应镀铬。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铆接良好，松紧适度。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接种箱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#1、带紫外线，铁质结构。单人操作箱，要求关闭严密、无缝，正面开两个圆洞。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孵化器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#1、（4～6）个蛋</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光照培养架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#1、由模拟阳光的灯泡，三层可调节，插孔暗式布线，独立开关，光照强度可调。</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产品为洋葱表皮细胞显微结构的立体模型。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示一个细胞的完整形态及其毗邻关系。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细胞的结构示细胞壁、细胞膜、细胞质、细胞核、核仁和液泡。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各部结构从不同角度观察应正确、自然，着色应协调。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缝口、内部元件的粘合应牢固，不得有错缝和明显的痕迹。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产品符合JY190—85《植物细胞模型技术条件》的规定。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#1、模型取材于单子叶植物玉米根尖，作纵、横剖面，置于支架上，可水平转动。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#2、根尖中部做不同向的纵剖面，突出维管柱，示根冠、分生区、伸长区、成熟区和原形成层等。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#3、成熟区做不同层次的横剖，示表皮、皮层和维管柱。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#4、皮层示厚壁细胞、薄壁细胞和内皮层细胞；维管柱地木质部和韧皮部呈辐射状相间排列的顺序。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#5、成熟区的部分根毛作剖面，示根毛的发育顺序和各个发育顺序的细胞排列位置。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符合JY191—85《根纵剖模型技术条件》的规定。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产品为显微结构的立体放大模型。包括环纹导管、螺纹导管、网纹导管、孔纹导管及筛管。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环、螺、网纹导管模型须显示至少一个分子间界，筛管及孔纹导管至少显示一个分子，筛管一侧还应示伴胞。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各种导管及筛管的形态结构应正确、自然。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各部位粘接应牢固，且内部纹路应相互吻合。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符合JY296—87《导管、筛管结构模型技术条件》的规定。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#1、模型取材于玉米茎，模型作横切，取横切面1/10，去掉中央部分。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#2、示表皮、维管束、基本组织。表皮示气孔，表皮下示厚壁细胞组成的机械组织。维管束示维管束鞘，原生韧皮部、伴胞和筛管孔纹导管、环纹、螺纹导管和胞间道。标本组织示薄壁细胞和胞间隙。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#3、在纵剖面上示环纹、螺筛、孔纹导管和筛管，筛管和结构示厚壁、薄壁等各种类型细胞的结构。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各缝处应修饰自然、正确、牢固。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符合JY192—85《单子叶植物茎模型技术条件》的规定。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#1、模型取材于双子叶草本植物茎向日葵茎。模型作纵、横切，其横切面约为茎的2/3，纵切面一侧通过髓射线，一侧通过维管束。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#2、横剖面上示表层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皮层、维管束、髓和髓射线。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#3、表皮细胞排列紧密，呈角质化，皮层细胞近表皮的呈厚角状，靠内侧的呈薄壁状。维管束韧皮纤维，初生韧皮部、形成层和初生木质部。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#4、纵切面的一侧分层剥离，示表皮、厚角把细胞薄壁细胞的表面观。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#5、维管束的横</w:t>
            </w:r>
            <w:r>
              <w:rPr>
                <w:rFonts w:hint="eastAsia" w:ascii="宋体" w:hAnsi="宋体" w:cs="宋体"/>
                <w:i w:val="0"/>
                <w:iCs w:val="0"/>
                <w:color w:val="000000"/>
                <w:sz w:val="21"/>
                <w:szCs w:val="21"/>
                <w:u w:val="none"/>
                <w:lang w:val="en-US" w:eastAsia="zh-CN" w:bidi="ar"/>
              </w:rPr>
              <w:t xml:space="preserve">断面</w:t>
            </w:r>
            <w:r>
              <w:rPr>
                <w:rFonts w:hint="eastAsia" w:ascii="宋体" w:hAnsi="宋体" w:eastAsia="宋体" w:cs="宋体"/>
                <w:i w:val="0"/>
                <w:iCs w:val="0"/>
                <w:color w:val="000000"/>
                <w:sz w:val="21"/>
                <w:szCs w:val="21"/>
                <w:u w:val="none"/>
                <w:lang w:val="en-US" w:eastAsia="zh-CN" w:bidi="ar"/>
              </w:rPr>
              <w:t xml:space="preserve">上示导管、筛管、筛板和筛孔，纵断面上示环纹导管、螺纹导管、孔纹导管、筛管和筛板等结构。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各缝处应修饰自然、正确、牢固。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符合JY193—85《双子叶草本植物茎模型技术条件》的规定。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#1、模型取材于双子叶植物蚕豆叶，通过主脉做部分叶片的横切，局部做不同层次的纵、横切面。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#2、模型示上、下表皮、叶肉和叶脉三部分。表皮示角质层、表皮细胞和由保卫组织细胞组成的气孔，叶内示珊栏组成和海绵组织，叶脉示主脉、侧脉和细脉。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#3、在主脉的横切面示维管束的结构（示本质部、韧皮部、叶内形成层）和其周围的薄壁结构。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#4、在模型的一侧，通过各种剖</w:t>
            </w:r>
            <w:r>
              <w:rPr>
                <w:rFonts w:hint="eastAsia" w:ascii="宋体" w:hAnsi="宋体" w:cs="宋体"/>
                <w:i w:val="0"/>
                <w:iCs w:val="0"/>
                <w:color w:val="000000"/>
                <w:sz w:val="21"/>
                <w:szCs w:val="21"/>
                <w:u w:val="none"/>
                <w:lang w:val="en-US" w:eastAsia="zh-CN" w:bidi="ar"/>
              </w:rPr>
              <w:t xml:space="preserve">面显</w:t>
            </w:r>
            <w:r>
              <w:rPr>
                <w:rFonts w:hint="eastAsia" w:ascii="宋体" w:hAnsi="宋体" w:eastAsia="宋体" w:cs="宋体"/>
                <w:i w:val="0"/>
                <w:iCs w:val="0"/>
                <w:color w:val="000000"/>
                <w:sz w:val="21"/>
                <w:szCs w:val="21"/>
                <w:u w:val="none"/>
                <w:lang w:val="en-US" w:eastAsia="zh-CN" w:bidi="ar"/>
              </w:rPr>
              <w:t xml:space="preserve">示主脉与侧脉的关系，示发育不规则的细脉。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#5、部分栅栏细胞和海绵细胞做剖面，示细胞核及叶绿素，部分气孔的内方示孔下室，海绵组织示较大的细胞间隙。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各缝处应修饰自然、正确、牢固。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符合JY194—85《叶构造模型技术条件》的规定。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产品为放大的桃花模型，示盛开形态。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花瓣、子房可拆装，子房纵剖示胚珠。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桃花的结构</w:t>
            </w:r>
            <w:r>
              <w:rPr>
                <w:rFonts w:hint="eastAsia" w:ascii="宋体" w:hAnsi="宋体" w:cs="宋体"/>
                <w:i w:val="0"/>
                <w:iCs w:val="0"/>
                <w:color w:val="000000"/>
                <w:sz w:val="21"/>
                <w:szCs w:val="21"/>
                <w:u w:val="none"/>
                <w:lang w:val="en-US" w:eastAsia="zh-CN" w:bidi="ar"/>
              </w:rPr>
              <w:t xml:space="preserve">是</w:t>
            </w:r>
            <w:r>
              <w:rPr>
                <w:rFonts w:hint="eastAsia" w:ascii="宋体" w:hAnsi="宋体" w:eastAsia="宋体" w:cs="宋体"/>
                <w:i w:val="0"/>
                <w:iCs w:val="0"/>
                <w:color w:val="000000"/>
                <w:sz w:val="21"/>
                <w:szCs w:val="21"/>
                <w:u w:val="none"/>
                <w:lang w:val="en-US" w:eastAsia="zh-CN" w:bidi="ar"/>
              </w:rPr>
              <w:t xml:space="preserve">：花柄、花托、花萼（萼片5个）、花冠（花瓣5个）、雄蕊（25~30个）和雌蕊。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各部的形态结构和颜色应正确自然，富有真实感。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各部的接插件应安装牢固，松紧适度，便于拆装。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符合JY195—85《桃花模型技术条件》的规定。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产品为放大的小麦花模型，附以小穗为单位的复穗状花序模型，放于支架上。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大部分小穗可拆下，个别小穗去掉频片和外稃。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各部的接插件应安装牢固，松紧适度，便于拆装。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符合JY196—85《小麦花模型技术条件》的规定。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蝗虫解剖模型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#1、产品约为蝗虫解剖模型，固定上支架上，各部的形态结构、位置、比例应正确，外形着色应自然逼真，内部结构应清晰协调。缝口衔接处应严密。符合JY198—85《蝗虫解剖模型技术条件》的规定。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蛙胚胎发育模型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#1、产品为八个放大之蛙胚胎发育模型组成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每个模型均置于支架上。符合JY199—85《蛙胚胎发育模型技术条件》的规定。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#1、模型取材于大草履虫，形成的纵剖模型，立于支架上。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#2、模型纵剖面示表膜、口沟、胞口、胞咽、波动膜、食泡、肛点；示两个伸缩泡及其收集管；示小核；示外质其中的刺细胞和颗粒状的内质。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#3、伸缩泡：一个呈收缩状，一个呈伸张状。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各部的形态结构和颜色应正确自然，富有真实感。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符合JY291—87《草履虫模型技术条件》的规定。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蚯蚓解剖模型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#1、通过虫体的表面，观察蚯蚓的体节、节间沟、生殖环带和运动器官——刚毛等各种结构，以及口、口前叶、雄性生殖孔、雌性生殖孔，受精囊孔及背孔等的位置。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从虫体的纵横剖面观察蚯蚓的体壁、肌肉、隔膜、体腔以及消化系统、循环系统、生殖系统、神经系统和肾管等各种脏器的形态结构及其分布。（本模型所示的蚯蚓外形和内部结构反映了一般环节动物的基本特点，通过观察模型有助于了解蚯蚓的形态和构造的主要特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各部的形态结构和颜色应正确自然，富有真实感。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符合JY0314—91《蚯蚓解剖模型技术条件》的规定。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0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#1、雌雄虫体呈合抱状，并可拆下单独示教。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#2、雄虫显示：口吸盘、腹吸盘、食管和食管腺，分叉的肠支、精巢7个，各有小管通输精管，经储精囊到生殖孔通体外，腹部中央示抱雌沟。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#3、雌虫显示：口吸盘、腹吸盘、分叉的肠支，卵巢1个由输卵管通至卵，模和子宫相连，腹吸盘之后为生殖孔，虫体后部示卵黄泉，由卵黄管进入卵模，卵模周围示放射状的梅瓦泉。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#4、血吸虫生活史模型示虫卵、毛蚴、第一代胞虫蚴、第二代胞蚴和尾蚴。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各部的形态结构和颜色应正确自然，富有真实感。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头、颈、躯干模型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产品为男性成年头、颈、躯干解剖模型。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产品采用硬质塑料制作，不得采用软塑料。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显示人体内脏器官的正常位置，形态结构及其相互关系。重点显示呼吸、消化和泌尿三个系统。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内脏各器官应形态正确，比例适当、纹理清晰，连接准确和切面平整。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各部位着色应准确、鲜明，颜色不得溢出外界。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金属零件或镶嵌件，都应按使用要求做表面处理。镶嵌件定位必须准确牢固，拆装方便，松紧适度，无松动脱落或呆滞现象。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符合JY158—84《人体头、颈、躯干模型技术条件》的规定。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产品为男性成年骨骼模型，串制成正常直立姿势立于支架上。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产品由颅、脊柱、胸廓、骨盆、上肢骨、下肢骨组成，结构比例正确。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产品采用混合树脂制作，颜色应准确，无明显差别。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符合JY159—84《人体骨骼模型技术条件》的规定。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#1、晶状体曲率可变,演示眼球成像功能,模型置于基板上，材质：优质PVC材料。</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34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规格：三倍自然大。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模型的外形按照标本放大复制，沿左右心耳的上方和左右心房、心室的两侧至心尖，剖开心脏的胸肋面，将心脏分成前后两部件。主要部件。主要显示心脏的外形、冠状动静脉、出入心脏的大血管、左右心房和心室的结构、形态、毗邻、位置关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心脏模型的后部分主要显示：连接出入心脏的升主动脉、肺动脉、肺静脉及上下腔静脉等。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出入心脏的大血管主要显示它们的位置关系、主动脉弓、肺动脉的主要分支及上下腔静脉、肺静脉的主要属支，同时还显示主动脉、肺动脉半月瓣。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心外形主要显示：浅层心肌纤维、冠状沟、前室间沟、后室间沟、心尖切迹和房间沟等。心腔主要显示左右心房、心室的结构和四腔的位置关系。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右心房：显示上下腔静脉口、冠状窦口、冠状窦瓣、卵圆窝和右房室口。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右心室：显示肉柱、乳头肌、隔缘肉柱、三尖瓣环、动脉圆锥、肺动脉瓣等。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左心房：显示前部的左心耳和左肺静脉、右肺静脉、左房室口的开口。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左心室：显示位于窦部的二尖瓣和主动脉前庭部的主动脉口、主动脉瓣等。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喉解剖模型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#1、该模型按照委标JY161－84《喉解剖放大模型》技术条件的有关要求制作。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#2、模型示喉的上方与舌骨相连。下方连方管（至第八气管软骨）。后方借喉口与咽相通。喉软骨的外面附有甲状腺、甲状房腺；并示梨状隐窝以及神经血管的分布。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#3、喉的软骨部示甲状软骨、环状软骨、会厌软骨和杓状软骨。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#4、喉肌示榴横肌、杓斜肌、环杓后肌及左侧的环甲肌。剖开右侧甲状软骨（可拆下），示杓会厌肌、甲会厌肌、甲杓肌及环杓肌及环杓侧肌。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#5、模型做工正中矢状切，示喉前庭、喉中间腔、声门下腔、声门裂、喉宝、气管腔等内部结构。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肺泡模型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#1、本模型取材于终末细支气管以下的分支――呼吸部，模型高约400mm，呈锥体形，装置于底板上。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#2、示终末细支气管和分支呼吸性细支气管、肺泡管、肺泡囊和肺泡。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#3、一侧肺泡管做纵剖面，示肺泡囊（剖面）肺泡管结节、肺泡隔内毛细血管。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#4、另一侧肺泡囊做横断面，示其横切面构造。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#5、示环绕管壁和平滑肌、弹性纤维和网状纤维。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#6、示肺动脉、肺静脉的逐级分支形成包绕于肺泡壁的毛细血管网，示支气管动、静脉。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9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脑解剖模型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#1、模型为自然大之人脑解剖，去掉硬脑膜，以正常生理位置放于底座上。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#2、大脑做正中矢状切，左侧脑半球经外侧沟向枕部作水平切。左侧脑半示深部的岛叶游离，暴露于外侧沟内。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#3、大脑半球的北侧面、内侧面及底面示其脑沟、脑回、脑叶。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#4、大脑的正中矢状面示胼胝体、隔、臆脑、小脑及脑干的剖面结构。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#5、示脑干的完整结构，包括十二对脑神经。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符合JY163—84《脑解剖模型技术条件》的规定。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耳解剖模型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产品为自然大的人脑解剖模型，以正常生理位置放于支架上。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大脑做正中矢状切，左侧脑半球经外侧沟向枕部再作水平切，并保留完整的脑干形态。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示大脑中间的胼胝体及凹陷在外侧沟内的岛叶。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要严格参照正常人脑标本，将各部的形态、位置、比例、毗邻做正确，内部的主要结构要轮廓清楚。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模型采用硬塑或混合树脂制作，不得采用软塑料。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符合JY163—84《脑解剖模型技术条件》的规定。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w:t>
            </w:r>
            <w:r>
              <w:rPr>
                <w:rFonts w:hint="eastAsia" w:ascii="宋体" w:hAnsi="宋体" w:cs="宋体"/>
                <w:i w:val="0"/>
                <w:iCs w:val="0"/>
                <w:color w:val="000000"/>
                <w:sz w:val="21"/>
                <w:szCs w:val="21"/>
                <w:u w:val="none"/>
                <w:lang w:val="en-US" w:eastAsia="zh-CN" w:bidi="ar"/>
              </w:rPr>
              <w:t xml:space="preserve">自然人</w:t>
            </w:r>
            <w:r>
              <w:rPr>
                <w:rFonts w:hint="eastAsia" w:ascii="宋体" w:hAnsi="宋体" w:eastAsia="宋体" w:cs="宋体"/>
                <w:i w:val="0"/>
                <w:iCs w:val="0"/>
                <w:color w:val="000000"/>
                <w:sz w:val="21"/>
                <w:szCs w:val="21"/>
                <w:u w:val="none"/>
                <w:lang w:val="en-US" w:eastAsia="zh-CN" w:bidi="ar"/>
              </w:rPr>
              <w:t xml:space="preserve">的男性泌尿生殖系统模型，置于支架上。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一侧肾做额切状，膀胱、前列腺、外生殖器和一侧睾丸做矢状切面，示其内部结构。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泌尿器示：肾、输尿管、膀胱和尿道。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w:t>
            </w:r>
            <w:r>
              <w:rPr>
                <w:rFonts w:hint="eastAsia" w:ascii="宋体" w:hAnsi="宋体" w:cs="宋体"/>
                <w:i w:val="0"/>
                <w:iCs w:val="0"/>
                <w:color w:val="000000"/>
                <w:sz w:val="21"/>
                <w:szCs w:val="21"/>
                <w:u w:val="none"/>
                <w:lang w:val="en-US" w:eastAsia="zh-CN" w:bidi="ar"/>
              </w:rPr>
              <w:t xml:space="preserve">生殖器官</w:t>
            </w:r>
            <w:r>
              <w:rPr>
                <w:rFonts w:hint="eastAsia" w:ascii="宋体" w:hAnsi="宋体" w:eastAsia="宋体" w:cs="宋体"/>
                <w:i w:val="0"/>
                <w:iCs w:val="0"/>
                <w:color w:val="000000"/>
                <w:sz w:val="21"/>
                <w:szCs w:val="21"/>
                <w:u w:val="none"/>
                <w:lang w:val="en-US" w:eastAsia="zh-CN" w:bidi="ar"/>
              </w:rPr>
              <w:t xml:space="preserve">：睾丸、附睾、输精管、射精管、尿道、前列腺、精囊腺、尿道球腺和阴茎。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示腹主动脉、下腔静脉、肾动脉及肾静脉等血管。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各部分的形态位置，比例和颜色等均应正确自然。各器官的衔接应牢固，拆卸方便。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符合JY298—87《男性泌尿生殖系统模型技术条件》的规定。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w:t>
            </w:r>
            <w:r>
              <w:rPr>
                <w:rFonts w:hint="eastAsia" w:ascii="宋体" w:hAnsi="宋体" w:cs="宋体"/>
                <w:i w:val="0"/>
                <w:iCs w:val="0"/>
                <w:color w:val="000000"/>
                <w:sz w:val="21"/>
                <w:szCs w:val="21"/>
                <w:u w:val="none"/>
                <w:lang w:val="en-US" w:eastAsia="zh-CN" w:bidi="ar"/>
              </w:rPr>
              <w:t xml:space="preserve">自然人</w:t>
            </w:r>
            <w:r>
              <w:rPr>
                <w:rFonts w:hint="eastAsia" w:ascii="宋体" w:hAnsi="宋体" w:eastAsia="宋体" w:cs="宋体"/>
                <w:i w:val="0"/>
                <w:iCs w:val="0"/>
                <w:color w:val="000000"/>
                <w:sz w:val="21"/>
                <w:szCs w:val="21"/>
                <w:u w:val="none"/>
                <w:lang w:val="en-US" w:eastAsia="zh-CN" w:bidi="ar"/>
              </w:rPr>
              <w:t xml:space="preserve">的女性泌尿生殖系统模型，置于支架上。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一侧肾及半侧子宫做额切状面，膀胱、一侧输卵管和卵巢做剖面，示其内部结构。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泌尿器示：肾、输尿管、膀胱和尿道。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w:t>
            </w:r>
            <w:r>
              <w:rPr>
                <w:rFonts w:hint="eastAsia" w:ascii="宋体" w:hAnsi="宋体" w:cs="宋体"/>
                <w:i w:val="0"/>
                <w:iCs w:val="0"/>
                <w:color w:val="000000"/>
                <w:sz w:val="21"/>
                <w:szCs w:val="21"/>
                <w:u w:val="none"/>
                <w:lang w:val="en-US" w:eastAsia="zh-CN" w:bidi="ar"/>
              </w:rPr>
              <w:t xml:space="preserve">生殖器官</w:t>
            </w:r>
            <w:r>
              <w:rPr>
                <w:rFonts w:hint="eastAsia" w:ascii="宋体" w:hAnsi="宋体" w:eastAsia="宋体" w:cs="宋体"/>
                <w:i w:val="0"/>
                <w:iCs w:val="0"/>
                <w:color w:val="000000"/>
                <w:sz w:val="21"/>
                <w:szCs w:val="21"/>
                <w:u w:val="none"/>
                <w:lang w:val="en-US" w:eastAsia="zh-CN" w:bidi="ar"/>
              </w:rPr>
              <w:t xml:space="preserve">：卵巢、输卵管、子宫、阴道及子宫阔韧带、子宫圆韧带、卵巢圆韧带及卵巢系膜等固定结构。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示腹主动脉、下腔静脉、肾动脉及肾静脉等血管。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各部分的形态位置，比例和颜色等均应正确自然。各器官的衔接应牢固，拆卸方便。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符合JY297—87《女性泌尿生殖系统模型技术条件》的规定。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皮肤结构模型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#1、表皮：示角化层、生发层、汗腺开口。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#2、真皮：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⑴、嵌入表皮基部的乳头层，包括含有毛细血管网和含有神经末梢的触觉小体。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⑵、在真皮的深部，是粗大纤维交织的网状层、含有较大的血管、神经干、淋巴管、汗腺排泄管、皮脂腺、立毛肌等。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#3、皮下组织：示脂肪、血管、神经。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#4、皮肤的附属器官：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⑴、汗腺：示盘绕成团分泌部分和皮肤表面引出导管的排泄部分。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⑵、皮脂腺：位于毛囊与毛肌之间，示皮脂腺开口于毛囊内的外形和切面。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⑶、毛囊：包括陷入皮内部分的毛根和毛囊以及露在皮肤表面的毛干。毛根的切面，示基部肥大的行球、凹向球内的毛乳头结构。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#5、皮肤的神经血管：示从皮下组织分支到真皮形成血管网和由此再向上分布到毛乳头，向下分布到汗腺的小血管形态。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肝、十二指肠、胰脏模型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#1、该模型为自然大，以立体正常位置置于支架上。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#2、模型示肝、胰(胰尾与脾门相接，胰头被十二指肠所环抱）、十二指肠(上部按幽门处、升部的十二指肠空肠曲续空肠处作切除；降部作部分刨面）。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#3、示胆囊、胆囊管、左、右肝管和胆部管；示肝固有动脉及左、右支；示门静脉和下腔静脉；示脾动静脉；示胰管和副胰管及开口。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符合JY0323—91《肝、胰、十二指肠解剖模型技术条件》的规定。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肾单位、肾小体模型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#1.产品由放大的肾、肾单位及肾小体组成。产品应采用硬塑料或复合材料制作，示肾门、肾动脉、肾静脉、肾皮质、肾髂质、肾乳头、肾小盏、肾大盏、肾盂。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#2.产品的整体性能执行JY 0001第4.1～4.6、4.8、4.10和4.11等条的规定。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#3.产品的结构执行JY 0001第5.1、5.3、5.4、5.7、5.21和8.1～8.5等条的规定。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#4.产品外观执行JY 0001第6章的规定。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#5.产品应能在距地面1m高处自由下落，不得破裂和变形。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心搏与血液循环模型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#1、示心动周期及大小循环，心壁可收缩及瓣膜可启闭</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模型为正常人体按比例缩小的全身骨骼肌模型。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产品用硬塑料或复合材料制作，置于支架或硬质底座上。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模型主要示浅层骨骼肌和部分深层骨骼肌。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正面示额肌、眼轮匝肌、口轮匝肌、咬肌、三角肌、胸锁乳突肌、胸大肌、肱二头肌、肱三头肌、</w:t>
            </w:r>
            <w:r>
              <w:rPr>
                <w:rFonts w:hint="eastAsia" w:ascii="宋体" w:hAnsi="宋体" w:cs="宋体"/>
                <w:i w:val="0"/>
                <w:iCs w:val="0"/>
                <w:color w:val="000000"/>
                <w:sz w:val="21"/>
                <w:szCs w:val="21"/>
                <w:u w:val="none"/>
                <w:lang w:val="en-US" w:eastAsia="zh-CN" w:bidi="ar"/>
              </w:rPr>
              <w:t xml:space="preserve">前臂</w:t>
            </w:r>
            <w:r>
              <w:rPr>
                <w:rFonts w:hint="eastAsia" w:ascii="宋体" w:hAnsi="宋体" w:eastAsia="宋体" w:cs="宋体"/>
                <w:i w:val="0"/>
                <w:iCs w:val="0"/>
                <w:color w:val="000000"/>
                <w:sz w:val="21"/>
                <w:szCs w:val="21"/>
                <w:u w:val="none"/>
                <w:lang w:val="en-US" w:eastAsia="zh-CN" w:bidi="ar"/>
              </w:rPr>
              <w:t xml:space="preserve">伸肌群、</w:t>
            </w:r>
            <w:r>
              <w:rPr>
                <w:rFonts w:hint="eastAsia" w:ascii="宋体" w:hAnsi="宋体" w:cs="宋体"/>
                <w:i w:val="0"/>
                <w:iCs w:val="0"/>
                <w:color w:val="000000"/>
                <w:sz w:val="21"/>
                <w:szCs w:val="21"/>
                <w:u w:val="none"/>
                <w:lang w:val="en-US" w:eastAsia="zh-CN" w:bidi="ar"/>
              </w:rPr>
              <w:t xml:space="preserve">前臂</w:t>
            </w:r>
            <w:r>
              <w:rPr>
                <w:rFonts w:hint="eastAsia" w:ascii="宋体" w:hAnsi="宋体" w:eastAsia="宋体" w:cs="宋体"/>
                <w:i w:val="0"/>
                <w:iCs w:val="0"/>
                <w:color w:val="000000"/>
                <w:sz w:val="21"/>
                <w:szCs w:val="21"/>
                <w:u w:val="none"/>
                <w:lang w:val="en-US" w:eastAsia="zh-CN" w:bidi="ar"/>
              </w:rPr>
              <w:t xml:space="preserve">屈肌群、腹外斜肌、腹直肌、缝匠肌、股直肌、口头肌、髌韧带等。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反面示颞肌、枕肌、斜方肌、三角肌、肱二头肌、肱三头肌、前壁伸肌群、</w:t>
            </w:r>
            <w:r>
              <w:rPr>
                <w:rFonts w:hint="eastAsia" w:ascii="宋体" w:hAnsi="宋体" w:cs="宋体"/>
                <w:i w:val="0"/>
                <w:iCs w:val="0"/>
                <w:color w:val="000000"/>
                <w:sz w:val="21"/>
                <w:szCs w:val="21"/>
                <w:u w:val="none"/>
                <w:lang w:val="en-US" w:eastAsia="zh-CN" w:bidi="ar"/>
              </w:rPr>
              <w:t xml:space="preserve">前臂</w:t>
            </w:r>
            <w:r>
              <w:rPr>
                <w:rFonts w:hint="eastAsia" w:ascii="宋体" w:hAnsi="宋体" w:eastAsia="宋体" w:cs="宋体"/>
                <w:i w:val="0"/>
                <w:iCs w:val="0"/>
                <w:color w:val="000000"/>
                <w:sz w:val="21"/>
                <w:szCs w:val="21"/>
                <w:u w:val="none"/>
                <w:lang w:val="en-US" w:eastAsia="zh-CN" w:bidi="ar"/>
              </w:rPr>
              <w:t xml:space="preserve">屈肌群、背阔肌、腹外斜肌、臀大肌、股外肌、股二头肌、</w:t>
            </w:r>
            <w:r>
              <w:rPr>
                <w:rFonts w:hint="eastAsia" w:ascii="宋体" w:hAnsi="宋体" w:cs="宋体"/>
                <w:i w:val="0"/>
                <w:iCs w:val="0"/>
                <w:color w:val="000000"/>
                <w:sz w:val="21"/>
                <w:szCs w:val="21"/>
                <w:u w:val="none"/>
                <w:lang w:val="en-US" w:eastAsia="zh-CN" w:bidi="ar"/>
              </w:rPr>
              <w:t xml:space="preserve">半腱肌</w:t>
            </w:r>
            <w:r>
              <w:rPr>
                <w:rFonts w:hint="eastAsia" w:ascii="宋体" w:hAnsi="宋体" w:eastAsia="宋体" w:cs="宋体"/>
                <w:i w:val="0"/>
                <w:iCs w:val="0"/>
                <w:color w:val="000000"/>
                <w:sz w:val="21"/>
                <w:szCs w:val="21"/>
                <w:u w:val="none"/>
                <w:lang w:val="en-US" w:eastAsia="zh-CN" w:bidi="ar"/>
              </w:rPr>
              <w:t xml:space="preserve">、腓肠肌、比目鱼肌、跟腚等。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产品应正确显示肌纤维形态结构走向，所示肌肉协调正确。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各部的形态位置，比例和颜色等均应正确自然。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 0357－1999 《人体肌肉模型》的有关规定。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#1．模型可展示肘关节伸展、弯曲和桡骨的旋转；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#2．自然大，有底座，附肩胛骨。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牙列及磨牙解剖模型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#1、产品由成人恒牙部分牙列和第二磨牙解剖模型组成，分别置于底座上，可水平转动或取下，模型采用PVC制作。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#2、产品应符合JY/T 0354-1999 《部分牙列及磨牙解剖模型》的有关规定。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模型示胃在中等度膨胀时的形状，区分为前壁、后壁、胃小弯和胃大弯。食管入胃处为贲门，胃移行于十二指肠处为幽门，胃中部为胃体以及胃从贲门向左上方的膨隆——胃底等的形态。模型作纵剖，显示：粘膜壁、幽门瓣、幽门括约肌，胃粘膜以及由食管向胃移行之粘膜等构造。胃前壁除去腹膜，显示由三层平滑肌纤维组成的肌织膜：外层为纵层，显现于小弯及大弯处，中层为环层，深层为斜纤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尿的形成动态模型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#1、电动式发光显示尿形成；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人体呼吸运动模型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#1．电动式，动态模拟人体呼吸运动时，肺及肋骨等相关器官的运动过程；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#2．透明的塑料人体外部形态和 PVC 塑料肋骨、胸骨、膈肌等内部结构构成；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#3．模型是由力学机械和同步电子电路程序控制组合成，能动态模拟呼吸运动；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#4．产品应设计为用集成电路控制、发光管显示模拟的人体呼吸运动机制模型；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#5．模型设计原理应正确，效果应清晰；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#6．能够演示出由于肋间肌的交替收缩与舒张而带动肋骨和胸骨位移，而使胸腔变粗变细；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#7．能够由于膈肌的上下移动而使胸腔变长、变短的过程；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#8．模型电路控制部分应可靠、安全、使用方便，功率不大于 10W。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膈肌运动模拟器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#1.本模型通过电动传杆周转运动，上下移动，显示呼吸运动的吸气和呼气两个过程。                        </w:t>
            </w:r>
            <w:r>
              <w:rPr>
                <w:rFonts w:hint="eastAsia" w:ascii="宋体" w:hAnsi="宋体" w:eastAsia="宋体" w:cs="宋体"/>
                <w:i w:val="0"/>
                <w:iCs w:val="0"/>
                <w:color w:val="000000"/>
                <w:sz w:val="21"/>
                <w:szCs w:val="21"/>
                <w:u w:val="none"/>
                <w:lang w:val="en-US" w:eastAsia="zh-CN" w:bidi="ar"/>
              </w:rPr>
              <w:t xml:space="preserve">                                                                                                                                                                                                         #2.显示胸廓的前面观，打开电建可见与呼吸运动有关的诸 结构胸肋关节，肋间外肌，膈肌，气管，左右支气管左右肺。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#3.演示吸气运动按吸气开关，可见：山与肋间外肌的收缩，使肋骨与胸骨向上和向外移动， 胸廓的前后径和左右径增大，同时膈肌收缩，其顶部下降，胸廓的上下径也增大，这样就扩大了整个胸廓的容积。肺也随之扩张，这时肺内的气压下降，低于大气压，是外界空气进入肺泡，完成吸气过程。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演示呼吸运动按呼气开关，可见：由于肋间外肌舒张，肋间内肌收缩，胸廓因故下降及重力和弹性作用而回位；同时膈肌舒张顶部回升，胸廓容积小，肺本身的弹性而回缩。这时肺内的气压回升，高于大气压力，迫使气体排出体外，完成呼气过程。按照每分钟30次的频率，让学生观察呼吸运动的</w:t>
            </w:r>
            <w:r>
              <w:rPr>
                <w:rFonts w:hint="eastAsia" w:ascii="宋体" w:hAnsi="宋体" w:cs="宋体"/>
                <w:i w:val="0"/>
                <w:iCs w:val="0"/>
                <w:color w:val="000000"/>
                <w:sz w:val="21"/>
                <w:szCs w:val="21"/>
                <w:u w:val="none"/>
                <w:lang w:val="en-US" w:eastAsia="zh-CN" w:bidi="ar"/>
              </w:rPr>
              <w:t xml:space="preserve">生动</w:t>
            </w:r>
            <w:r>
              <w:rPr>
                <w:rFonts w:hint="eastAsia" w:ascii="宋体" w:hAnsi="宋体" w:eastAsia="宋体" w:cs="宋体"/>
                <w:i w:val="0"/>
                <w:iCs w:val="0"/>
                <w:color w:val="000000"/>
                <w:sz w:val="21"/>
                <w:szCs w:val="21"/>
                <w:u w:val="none"/>
                <w:lang w:val="en-US" w:eastAsia="zh-CN" w:bidi="ar"/>
              </w:rPr>
              <w:t xml:space="preserve">过程</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护理人模型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#1、1700mm；热塑弹性体混合胶材质；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始祖鸟化石及复原模型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始祖鸟化石模型及复原模型组成，分别置于底座上，模型应采用硬塑料或复合材料制作。示头骨、脊柱、肋骨、附肢骨和羽毛印迹，各部形态正确清晰，并显示化石裂缝。符合JY0313-1991《始祖鸟化石模型及复原模型》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标本用鲫或鲤制作。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标本右侧向衬板，并展开背鳍或尾鳍，显示其外形。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标本应完整显示动物的消化系、呼吸系、循环系、排泄系、生殖系等。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血管内分注红、蓝两色剂。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整体浸制在密封包装的标本瓶内，保存液须将标本完全浸没。标本瓶不得有漏液现象。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符合JY144—82《鱼解剖浸制标本技术条件》的规定。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w:t>
            </w:r>
            <w:r>
              <w:rPr>
                <w:rFonts w:hint="eastAsia" w:ascii="宋体" w:hAnsi="宋体" w:cs="宋体"/>
                <w:i w:val="0"/>
                <w:iCs w:val="0"/>
                <w:color w:val="000000"/>
                <w:sz w:val="21"/>
                <w:szCs w:val="21"/>
                <w:u w:val="none"/>
                <w:lang w:val="en-US" w:eastAsia="zh-CN" w:bidi="ar"/>
              </w:rPr>
              <w:t xml:space="preserve">大型</w:t>
            </w:r>
            <w:r>
              <w:rPr>
                <w:rFonts w:hint="eastAsia" w:ascii="宋体" w:hAnsi="宋体" w:eastAsia="宋体" w:cs="宋体"/>
                <w:i w:val="0"/>
                <w:iCs w:val="0"/>
                <w:color w:val="000000"/>
                <w:sz w:val="21"/>
                <w:szCs w:val="21"/>
                <w:u w:val="none"/>
                <w:lang w:val="en-US" w:eastAsia="zh-CN" w:bidi="ar"/>
              </w:rPr>
              <w:t xml:space="preserve">青蛙或蟾蜍制作。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将躯干背面的皮向上方翻开，以显示皮下动、静脉之分布。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标本应完整显示动物的消化系、呼吸系、循环系、排泄系、生殖系等。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血管内分注红、蓝两色剂。标本的背面向衬板。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整体浸制在密封包装的标本瓶内，保存液须将标本完全浸没。标本瓶不得有漏液现象。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符合JY145—82《蛙解剖浸制标本技术条件》的规定。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标本由石龙子科、蜥蜴科中较大型的个体制作。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标本沿腹中线切开，体壁翻向两侧，前、后肢自然伸展，肩带和腰带的腹面切掉。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血管内分注红、蓝两种色剂。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标本背面向衬板。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标本应完整显示动物的消化系、呼吸系、循环系、排泄系、生殖系等。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整体浸制在密封包装的标本瓶内，保存液须将标本完全浸没。标本瓶不得有漏液现象。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符合JY269—87《蜥蜴解剖浸制标本技术条件》的规定。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符合JY143—82《动物浸制标本通用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标本背面向衬板，血管内分注红、蓝两色剂。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保留头部羽毛，颈和前、后肢伸展，显示外部形态。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左侧的胸肌翻向外侧，显示胸动、静脉在胸肌中的分布。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标本应完整显示动物的消化系、呼吸系、循环系、排泄系、生殖系等。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整体浸制在密封包装的标本瓶内，保存液须将标本完全浸没。标本瓶不得有漏液现象。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符合JY146—82《鸽解剖浸制标本技术条件》的规定。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标本背面向衬板，四肢伸展，显示外部形态，血管内分注红、蓝两色剂。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标本沿腹中线切开，将皮翻向两侧，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标本应完整显示动物的消化系、呼吸系、循环系、排泄系、生殖系等。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整体浸制在密封包装的标本瓶内，保存液须将标本完全浸没。标本瓶不得有漏液现象。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符合JY147—82《兔解剖浸制标本技术条件》的规定。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标本由蛙的下列八个发育期组成：①单细胞期②尾牙期（已能区分头尾）③具外腮的蝌蚪④具内腮的蝌蚪⑤具后肢的蝌蚪⑥具前后肢蝌蚪⑦尾缩期的蝌蚪⑧幼蛙。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①～③期在容器中不定位，④～⑧期以腹面向下定位。再按发育顺序自左向右排列。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各期标本应完整无缺、饱满、肢体伸展（有肢体期），并保持自然色。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符合JY148—82《蛙发育顺序标本技术条件》的规定。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整体浸制在密封包装的标本瓶内。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#1、不少于七种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#1、十字花科，豆科，菊科等七种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#1、海带等四种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#1、紫菜等四种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#1、动物学浸制标本，用于观察寄生绦虫囊尾蚴猪肉外部形态结构的教学与实验。应符合JY143-82《动物浸制标本通用技术条件（试行）》的规定。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#1、技术要求应符合DB51/T 1246-2011《珍贵植物保色浸制标本》的要求。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产品用葫芦藓制作，示藓类植物的不同世代。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标本由（1）原丝体；（2）成长中的配子体；（3）具幼嫩孢蒴的配子体；（4）具成熟孢蒴的配子体（5）孢子体组成，按生活史顺序排列。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标本的浸制执行JY 143第3章的规定。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整体性能执行JY 0001第4章的规定。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产品的结构执行JY 0001第5.1，5.4，5.23，5.26等条的规定。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产品外观执行JY 0001第6章和第8章的规定。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产品用铁线制作，示蕨类植物的不同世代。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标本由（1）带有孢子囊群的小羽片、（2）孢子、（3）原叶体（即配子体）、（4）原叶体幼孢子体、（5）孢子体组成，按生活史顺序排列。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标本的浸制执行JY 0001第4章的规定.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保管和运输的环境温度0～40℃，并避免光直射。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整体性能执行JY 0001第4章的规定。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产品的结构执行JY 0001第5.1、5.4、5.23、5.26等条的规定。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产品外观执行JY 0001第6、8章的规定。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产品用东亚飞蝗或亚洲飞蝗制作，示昆虫的不完全变态。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标本由卵、一至五龄的跳蝻、雄性成虫、雌性成虫和被害物组成。卵和虫体浸制，分装于小容器内，虫体以腹面向下定位。按生活史顺序排列。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卵不少于四粒并排列成行。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各期虫姿应一致，雌性成虫应大于雄性成虫。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符合JY150—82《蝗虫生活史标本技术条件》的规定。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符合JY149—82《昆虫标本通用技术条件》的规定。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产品用意蜂或中蜂制作，示昆虫的完全变态，社会性昆虫不同类型的个体和其经济意义。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产品由卵、中（或老）熟幼虫、蛹、工蜂、雄蜂和母蜂（蜂王）组成，附巢础、蜂巢（包括一个母蜂房）、蜂蜡和蜂蜜。按生活史顺序排列。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卵、幼虫（以腹面向左定位）、蛹（以背面向下定位）、成虫（以腹面向下定位）浸制，各个标本分封或部分合封于小容器内。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母蜂腹部最长，并保持丰满，雄蜂腹部应粗壮，腹末圆；工蜂可显示其口器端部。各成虫的姿势应一致。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#5．符合JY151—82《蜜蜂生活史标本技术条件》的规定。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符合JY149—82《昆虫标本通用技术条件》的规定。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#1、由竹节虫、竹叶组成。应符合JY149-82《昆虫标本通用技术条件（试行）》的规定。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#1、供中学生物教学实验用的动物学昆虫标本，用于观察家蚕个体发育及其经济意义的教学与实验。应符合JY0326《家蚕生活史标本技术条件》的要求。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#1、供中学生物教学实验用，标本包括母本穗、父本穗、Ｆ１代穗、</w:t>
            </w:r>
            <w:r>
              <w:rPr>
                <w:rFonts w:hint="eastAsia" w:ascii="宋体" w:hAnsi="宋体" w:cs="宋体"/>
                <w:i w:val="0"/>
                <w:iCs w:val="0"/>
                <w:color w:val="000000"/>
                <w:sz w:val="21"/>
                <w:szCs w:val="21"/>
                <w:u w:val="none"/>
                <w:lang w:val="en-US" w:eastAsia="zh-CN" w:bidi="ar"/>
              </w:rPr>
              <w:t xml:space="preserve">F2</w:t>
            </w:r>
            <w:r>
              <w:rPr>
                <w:rFonts w:hint="eastAsia" w:ascii="宋体" w:hAnsi="宋体" w:eastAsia="宋体" w:cs="宋体"/>
                <w:i w:val="0"/>
                <w:iCs w:val="0"/>
                <w:color w:val="000000"/>
                <w:sz w:val="21"/>
                <w:szCs w:val="21"/>
                <w:u w:val="none"/>
                <w:lang w:val="en-US" w:eastAsia="zh-CN" w:bidi="ar"/>
              </w:rPr>
              <w:t xml:space="preserve">代穗的自交穗和测交穗</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个果穗。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标本显示中轴骨骼的头骨、舌器骨、七块颈椎、十三块胸椎、七块腰椎、荐椎、十五至十八块尾椎、十三对肋骨和六</w:t>
            </w:r>
            <w:r>
              <w:rPr>
                <w:rFonts w:hint="eastAsia" w:ascii="宋体" w:hAnsi="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val="en-US" w:eastAsia="zh-CN" w:bidi="ar"/>
              </w:rPr>
              <w:t xml:space="preserve">胸骨。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标本显示附肢骨骼的肩胛骨、锁骨、肱骨、尺骨、桡骨、腕骨九块、掌骨五块、指骨五个、骨盆、股骨、膝盖骨、胫骨、腓骨、跗骨六块、骨四块、趾骨四个。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符合JY154—82《兔骨骼标本技术条件》的规定。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符合JY153—82《脊椎动物标本通用技术条件》的规定。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标本由鳍条完整，骨骼形态正常的鲫鱼或鲤鱼制作。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标本左侧的鳃盖骨和下鳃盖骨卸下，示头部的舌弓、鳃弓、肩带与头骨之连接方式和围耳骨等形态结构，另附尾椎一条。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标本以自然形态安装定位，从左右两面显示中轴骨骼的头骨（包括颅骨和咽骨）、脊柱、肋骨；附肢骨骼的肩带和胸鳍骨、腰带和腹鳍的鳍条、背鳍骨、臀髓骨和尾鳍骨（包括七块尾上骨、五块尾下骨和鳍条）。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骨骼以原位组装。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符合JY279—87《鱼骨骼标本技术条件》的规定。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符合JY153—82《脊椎动物标本通用技术条件》的规定。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#1、动物学骨骼标本，用于观察蛙骨骼形态结构的教学与实验。应符合JY153-82《脊椎动物骨骼标本通用技术条件（试行）》的规定。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#1、采用家鸽制作。选用成年家鸽制作。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#2、家鸽以自然站立姿态固定在密封的透明树脂外壳中，多附颈椎骨一块。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标本选用发育正常的褐藻门植物海带、裙带菜、鹿角菜、海蒿子等四种植物干制而成。示褐藻类植物的主要特征。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标本应经保色或染色处理。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标本的枝叶应展开，不得太密，并保持完整。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#4．标本应装订在台纸的中间，注意比例适中，应装防虫剂。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标本选用形态自然，构造完整，色泽正常，发育良好的植株为材料制作。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标本经保色处理后，面上由透明覆膜密封，覆膜工艺应平整、严密。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标本须注明名称。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标本选用发育正常的红藻门植物紫菜、石花菜、海索面（蜈蚣藻）、海萝等四种植物干制而成。示红藻类植物的主要特征。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标本应经保色或染色处理。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标本的枝叶应展开，不得太密，并保持完整。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#4．标本应装订在台纸的中间，注意比例适中，应装防虫剂。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标本选用形态自然，构造完整，色泽正常，发育良好的植株为材料制作。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标本经保色处理后，面上由透明覆膜密封，覆膜工艺应平整、严密。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标本须注明名称。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#1、红珊瑚或</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珊瑚的具骨轴、其肉和虫体的标本。产品应符合JY284-87《珊瑚标本技术条件》的规定。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标本应选用三叶虫、鱼和植物的化石组成2. 应符合JY0001-2003中10.13～10.14的各项要求。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#1、常见六种以上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#1、常见六种以上,益虫标本种类为：蚂蚁，异色瓢虫，宽肩步甲，蜻蜓等，害虫标本种类为：金龟子，梨蝽，负蝗，蝗虫等。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标本在80x和200x学生显微镜下观察单子叶植物茎横断面的结构。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能看清表皮、散生维管束、薄壁组织。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表皮为一层排列整齐的细胞，表皮下有一圈机械组织。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标本取材于人工培养的玉米茎，取节间部位。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切片厚度在25μm以内。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切面应与纵轴垂直，表皮、机械组织、薄壁组织、维管束等处细胞倾斜不超过茎的1／4。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标本用蕃红、固绿染色，木质导管、机械组织呈红色，其他组织绿色。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产品应符合JY72－82《单子叶植物茎横切》的要求。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#1、符合双子叶植物茎横切技术条件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#1．标本在80x和200x学生显微镜下观察叶下表皮形态和气孔结构。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#2．能看清不规则形的下表皮细胞，及其胞核和分散在下表皮细胞间的气孔。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#3．能看清正常开放的气孔形态和新月形的保卫细胞、胞核和叶绿体。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#4．标本取材于新鲜的、气孔开放的蚕豆叶。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#5．标本为平铺装片，每片材料不小于2x2mm，四周剪切整齐。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#6．材料整洁，不附带叶肉等其他组织，保卫细胞不收缩。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#7．闭合气孔不得超过2／3。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#8．胞质着色均匀，胞核明显，细胞界限清晰。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#10．产品应符合JY75－82《蚕豆叶下表皮装片》的要求。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#1、松叶材质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标本在400×生物显微镜下观察植物细胞的胞间连丝形态。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能看清胚乳的多边形厚壁贮藏细胞，认出细胞壁、胞间层和细胞腔。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能看清许多细小的胞间连丝将两个相邻细胞的原生质体连在一起。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标本取材于秋、冬季节的柿或黑枣的种子。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切片厚度不超过20μm。材料面积不小于1.5mm2，细胞不倾斜。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标本用能显示胞间连丝的方法染色。胞间连丝着色应明显，细胞界限清楚，胞质色淡。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有50%以上细胞能显示胞间连丝。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材料四周剪切整齐，无染液的沉淀物。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产品应符合JY235－87《胞间连丝切片》的要求。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产品取材于地衣门（Lichende）叶状地衣（foliose-lichen）的一种，示异层地衣的结构。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应示由紧密交织的菌丝组成的上皮层和下皮层，有疏松菌丝及藻类细胞组成的髓层、藻胞层。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在上皮层或下皮层处可有各种附属物的结构。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标本为双重染色，藻菌类染色有鲜明对比，分色适当，色泽协调。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标本为地衣体的纵切片，切片厚度不超过108μm，材料长度不短于3mm，每张玻片横放材料一至二片。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材料的刀痕或破损不超过二处。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产品的取材、处理、封盖等，执行JY67的有关规定。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产品应符合JY0338－93《地衣切片》的要求。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产品取材于地衣门（Lichende）叶状地衣（foliose-lichen）的一种，示异层地衣的结构。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应示由紧密交织的菌丝组成的上皮层和下皮层，有疏松菌丝及藻类细胞组成的髓层、藻胞层。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在上皮层或下皮层处可有各种附属物的结构。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标本为双重染色，藻菌类染色有鲜明对比，分色适当，色泽协调。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标本为地衣体的纵切片，切片厚度不超过108μm，材料长度不短于3mm，每张玻片横放材料一至二片。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材料的刀痕或破损不超过二处。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产品的取材、处理、封盖等，执行JY67的有关规定。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产品应符合JY0338－93《地衣切片》的要求。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产品取材于真蕨纲（Filicinae）中的一种蕨原叶体，示原叶体的形态和生殖器官的结构。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原叶体上应显示精子器或颈卵器（也可兼有）和假根。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标本为单一染色或双重染色，分色适当，色泽协调。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#4．标本为原叶体腹面向上的整体装片。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标本呈心形或基本呈心形，其“心”形的凹陷部应明显，细胞无明显收缩，</w:t>
            </w:r>
            <w:r>
              <w:rPr>
                <w:rFonts w:hint="eastAsia" w:ascii="宋体" w:hAnsi="宋体" w:cs="宋体"/>
                <w:i w:val="0"/>
                <w:iCs w:val="0"/>
                <w:color w:val="000000"/>
                <w:sz w:val="21"/>
                <w:szCs w:val="21"/>
                <w:u w:val="none"/>
                <w:lang w:val="en-US" w:eastAsia="zh-CN" w:bidi="ar"/>
              </w:rPr>
              <w:t xml:space="preserve">原</w:t>
            </w:r>
            <w:r>
              <w:rPr>
                <w:rFonts w:hint="eastAsia" w:ascii="宋体" w:hAnsi="宋体" w:eastAsia="宋体" w:cs="宋体"/>
                <w:i w:val="0"/>
                <w:iCs w:val="0"/>
                <w:color w:val="000000"/>
                <w:sz w:val="21"/>
                <w:szCs w:val="21"/>
                <w:u w:val="none"/>
                <w:lang w:val="en-US" w:eastAsia="zh-CN" w:bidi="ar"/>
              </w:rPr>
              <w:t xml:space="preserve">本完整、不破损，假根部基本无泥沙附着。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产品应符合JY0340－93《蕨类玻片标本》的要求。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取材于真蕨纲（Filicinae）中的一种具幼孢子体的原叶体并示其形态。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原叶体上有根、茎和伸出的第一叶。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标本为单一染色或双重染色，分色适当，色泽协调。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#4．标本为整体装片，原叶体外形基本正常，可稍有缺陷，假根部基本无泥沙附着，幼孢子体形态正常，根不断，叶不皱，无破损。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产品的取材、处理、封盖等，执行JY67的有关规定。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#6．产品使用的载玻片和盖玻片，执行GB6272-6273的规定。                                                                                                                   #7．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产品应符合JY0340－93《蕨类玻片标本》的要求。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#1．取材于石蒜科（Amaryllidaceae）朱顶兰（AmaryllisVittata）的花粉，经人工培养示花粉粒和花粉管的结构；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#2．应示出未萌发的花粉、刚萌发花粉管的花粉，且其花粉管长度超过花粉的直径萌发的花粉管长度超过花粉粒直径多倍，</w:t>
            </w:r>
            <w:r>
              <w:rPr>
                <w:rFonts w:hint="eastAsia" w:ascii="宋体" w:hAnsi="宋体" w:cs="宋体"/>
                <w:i w:val="0"/>
                <w:iCs w:val="0"/>
                <w:color w:val="000000"/>
                <w:sz w:val="21"/>
                <w:szCs w:val="21"/>
                <w:u w:val="none"/>
                <w:lang w:val="en-US" w:eastAsia="zh-CN" w:bidi="ar"/>
              </w:rPr>
              <w:t xml:space="preserve">并显</w:t>
            </w:r>
            <w:r>
              <w:rPr>
                <w:rFonts w:hint="eastAsia" w:ascii="宋体" w:hAnsi="宋体" w:eastAsia="宋体" w:cs="宋体"/>
                <w:i w:val="0"/>
                <w:iCs w:val="0"/>
                <w:color w:val="000000"/>
                <w:sz w:val="21"/>
                <w:szCs w:val="21"/>
                <w:u w:val="none"/>
                <w:lang w:val="en-US" w:eastAsia="zh-CN" w:bidi="ar"/>
              </w:rPr>
              <w:t xml:space="preserve">示花粉管内的营养核或生殖核；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#3．标本为花粉萌发各期的混合装片，每张玻片上应达到 1 的要求并在 40×生物显微镜视野内同时看到；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#4．标本为双重染色，分色适当，色泽协调；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#5．花粉粒和花粉管不得断离、收缩，花粉和花粉管外不粘附污物；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荠菜幼胚切片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荠菜老胚切片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标本在50×和200×显微镜下观察玉米种子纵切面的结构。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能看清果皮、种皮、糊粉层、胚和胚乳。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能看清胚内的胚芽（包括幼叶和生长锥）、胚芽鞘、胚根、胚根鞘、胚轴及一侧的一片子叶，并可见维管束。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取材于</w:t>
            </w:r>
            <w:r>
              <w:rPr>
                <w:rFonts w:hint="eastAsia" w:ascii="宋体" w:hAnsi="宋体" w:cs="宋体"/>
                <w:i w:val="0"/>
                <w:iCs w:val="0"/>
                <w:color w:val="000000"/>
                <w:sz w:val="21"/>
                <w:szCs w:val="21"/>
                <w:u w:val="none"/>
                <w:lang w:val="en-US" w:eastAsia="zh-CN" w:bidi="ar"/>
              </w:rPr>
              <w:t xml:space="preserve">未</w:t>
            </w:r>
            <w:r>
              <w:rPr>
                <w:rFonts w:hint="eastAsia" w:ascii="宋体" w:hAnsi="宋体" w:eastAsia="宋体" w:cs="宋体"/>
                <w:i w:val="0"/>
                <w:iCs w:val="0"/>
                <w:color w:val="000000"/>
                <w:sz w:val="21"/>
                <w:szCs w:val="21"/>
                <w:u w:val="none"/>
                <w:lang w:val="en-US" w:eastAsia="zh-CN" w:bidi="ar"/>
              </w:rPr>
              <w:t xml:space="preserve">成熟的玉米种子。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做玉米种子的纵切，每张玻片放材料一片。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果皮与种皮不得脱离。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胚内的各种结构应完整。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标本在80×和200×学生显微镜下观察鳞片叶表皮形态和结构。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能看清鳞片叶表皮的长方形细胞，并具细胞核。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标本取材于洋葱鳞片叶表皮。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标本为平铺装片，每片材料不小于2×2mm，四周须剪整齐。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产品取材于绿藻门（Chlorophyta）衣藻属（Chlamydomonas）中个体较大者，示衣藻细胞的结构。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应显示衣藻为单细胞，球形或卵形。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应显示细胞壁，杯状叶绿体，蛋白核（造粉核、淀粉核）细胞核，鞭毛。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标本染色清晰，分色适当，色泽协调。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材料纯净，不密集成团，细胞不皱缩。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在100×镜下的任一视野内，衣藻数不少于20个，其中有鞭毛的衣藻不少于总数的1/5。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产品使用的载玻片和盖玻片，执行GB 6272-6273的规定。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产品应符合JY0337－93《衣藻装片》的要求。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标本在100x和400x生物显微镜下观察酵母菌的形态。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酵母菌为单细胞卵圆形。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在不同的染色情况下，能看清细胞壁、细胞质、细胞核和液泡等。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在菌体上可看清出芽生殖，分别具一、二或多个芽。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标本取材于人工培养的体大的酵母菌。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材料应纯净，无杂菌、污物，不密集成团。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产品应符合JY79－82《酵母菌装片》的要求。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水绵接合生殖装片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标本取用具梯形接合的、细胞壁为平滑型的任一种水绵。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标本包括有营养细胞和接合生殖各期的藻丝，细胞不收缩，藻丝不堆集或缠绕。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标本为铁苏木精染色，可复染固绿。核、叶绿体等明显，胞质均匀，接合子内的胞核叶绿体也应区别清楚。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#4．除少数接合管处，标本应清洁无污物，不混有</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藻类。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产品应符合JY236－87《水绵接合生殖装片技术条件》的要求。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标本在80×和200×学生显微镜下观察水绵营养时期的结构。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能看清丝状体内圆柱形的营养细胞，位于中央的胞核，呈星芒状的原生质、平立的细胞横壁，作螺旋盘绕的叶绿体呈带状，以及纵列于叶绿体上的蛋白核等。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应取材于营养时期的水绵材料，细胞不收缩，藻丝不严重堆集或缠绕（不影响观察）。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标本为铁苏木精与固绿双重染色，标本应清洁无污物，不混有其他藻类。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标本在50×和100×生物显微镜下，观察团藻具子群体的形态。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能看清由大量细胞构成的一个空心球体和球体内不同发育期的若干子群体。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能认出形成球体的细胞只有一层，并且形态相同，从表面上观察细胞为多边形，中间有核。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标本取材应</w:t>
            </w:r>
            <w:r>
              <w:rPr>
                <w:rFonts w:hint="eastAsia" w:ascii="宋体" w:hAnsi="宋体" w:cs="宋体"/>
                <w:i w:val="0"/>
                <w:iCs w:val="0"/>
                <w:color w:val="000000"/>
                <w:sz w:val="21"/>
                <w:szCs w:val="21"/>
                <w:u w:val="none"/>
                <w:lang w:val="en-US" w:eastAsia="zh-CN" w:bidi="ar"/>
              </w:rPr>
              <w:t xml:space="preserve">具有</w:t>
            </w:r>
            <w:r>
              <w:rPr>
                <w:rFonts w:hint="eastAsia" w:ascii="宋体" w:hAnsi="宋体" w:eastAsia="宋体" w:cs="宋体"/>
                <w:i w:val="0"/>
                <w:iCs w:val="0"/>
                <w:color w:val="000000"/>
                <w:sz w:val="21"/>
                <w:szCs w:val="21"/>
                <w:u w:val="none"/>
                <w:lang w:val="en-US" w:eastAsia="zh-CN" w:bidi="ar"/>
              </w:rPr>
              <w:t xml:space="preserve">群体期，具有性生殖期的材料更好。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标本为洋红或苏木精与固绿的双重染色，分色适当，细胞界限及核清楚，子群体能显示。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作团藻的整体装片，每张玻片内团藻数量不应少于五个，并应具有不同时期的子群体。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团藻应基本呈球形，无明显收缩，压碎等情况。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团藻为厚装片标本，封盖剂应充分干燥，材料不得在盖玻下移动。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产品应符合JY251－87《团藻装片》的要求。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7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标本在100×和400×生物显微镜下，观察伞蕈菌盖的部分结构。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能看清帽状菌盖的横切面，中间有菌柄横切面和菌褶的纵切面，两侧有担子。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能认出菌褶（子实层）的结构，认出担子，担子小柄和担孢子。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能认出担子顶端的有二或四个担子小柄及小柄顶有一个担孢子的典型结构。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标本选用同担子菌亚纲（Homobasidiomycetidae）伞菌目（Agaricales）中任一种伞菌。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标本取材不宜过老，菌盖尚未张开，呈帽形状时为佳。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标本为帽状菌盖的横切片，其厚度在8μm以内。铁苏木精染色，每张玻片放材料一片。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菌柄居中，菌褶、担了和担孢子不收缩。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菌褶两侧的担子，除达到1.4条要求外，近半数担子顶端也应看到孢子。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担孢子散落不应过多，材料无破损现象。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产品应符合JY253－87《伞蕈切片》的要求。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能看清黑根霉的营养菌丝、匍匐菌丝、假根、孢子梗、孢子囊的形态结构。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标本在80x和200x学生显微镜下观察水媳纵断面的结构。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能看清外胚层、内胚层、中胚层和消化循环腔，有时可看到部分触手的纵断面。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外胚层看到内皮肌细胞,内胚层看到内骨细胞,在400X镜下可见间细胞和刺细胞。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基盘部细胞排列整齐，垂唇部细胞较为致密。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标本取材为淡水水螅，经固定后仍应保持其伸展状态。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做</w:t>
            </w:r>
            <w:r>
              <w:rPr>
                <w:rFonts w:hint="eastAsia" w:ascii="宋体" w:hAnsi="宋体" w:cs="宋体"/>
                <w:i w:val="0"/>
                <w:iCs w:val="0"/>
                <w:color w:val="000000"/>
                <w:sz w:val="21"/>
                <w:szCs w:val="21"/>
                <w:u w:val="none"/>
                <w:lang w:val="en-US" w:eastAsia="zh-CN" w:bidi="ar"/>
              </w:rPr>
              <w:t xml:space="preserve">水螅</w:t>
            </w:r>
            <w:r>
              <w:rPr>
                <w:rFonts w:hint="eastAsia" w:ascii="宋体" w:hAnsi="宋体" w:eastAsia="宋体" w:cs="宋体"/>
                <w:i w:val="0"/>
                <w:iCs w:val="0"/>
                <w:color w:val="000000"/>
                <w:sz w:val="21"/>
                <w:szCs w:val="21"/>
                <w:u w:val="none"/>
                <w:lang w:val="en-US" w:eastAsia="zh-CN" w:bidi="ar"/>
              </w:rPr>
              <w:t xml:space="preserve">整体中部纵切,切片厚度为5-7μm,每张玻片垂直放材料一片。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标本为基盘部至口端部的纵断面,基盘必须完整,可以不过口和触手。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内、外胚层间应无裂隙，体外不得有附着物。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产品应符合JY81－82《水螅纵切》的要求。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标本在80x和200x学生显微镜下观察蚯蚓横断面的结构。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能看清表皮、肌层（环肌、纵肌）、体腔、背血管、腹血管、腹神经索、神经下血管、肠、盲道、不完整的肾管、肠及背血管周围的黄色细胞等。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表皮为多种细胞组成，表皮外可见一层角质膜。有时可见到刚毛的纵断切面。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环肌层较薄，肌细胞呈纵断面，成柬状的纵肌层较厚，肌细胞呈横断面，纵肌内侧可见体腔膜。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标本取材为环毛蚓(异唇蚓等也可使用)。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切片厚度为10μm以内。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标本的切面应与蝗蚓的纵轴垂直,呈圆或椭圆形.背血管\腹血管、腹神经索、神经下血管应基本位于同一垂直线上。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纵肌和肠上皮细胞可有轻微收缩现象和裂隙。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表皮无皱褶、无污物。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产品应符合JY82－82《蚯蚓横切》的要求。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动物细胞有丝分裂(马蛔虫受精卵切片)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标本在80x和200x学生显微镜下观察蚯蚓横断面的结构。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能看清表皮、肌层（环肌、纵肌）、体腔、背血管、腹血管、腹神经索、神经下血管、肠、盲道、不完整的肾管、肠及背血管周围的黄色细胞等。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表皮为多种细胞组成，表皮外可见一层角质膜。有时可见到刚毛的纵断切面。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环肌层较薄，肌细胞呈纵断面，成柬状的纵肌层较厚，肌细胞呈横断面，纵肌内侧可见体腔膜。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标本取材为环毛蚓(异唇蚓等也可使用)。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切片厚度为10μm以内。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标本的切面应与蝗蚓的纵轴垂直,呈圆或椭圆形.背血管\腹血管、腹神经索、神经下血管应基本位于同一垂直线上。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纵肌和肠上皮细胞可有轻微收缩现象和裂隙。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表皮无皱褶、无污物。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产品应符合JY82－82《蚯蚓横切》的要求。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草履虫接合生殖装片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标本在50×和100×生物显微镜下，观察草履虫接合生殖的形态。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能看清两个草履虫纵向平行紧贴在一起。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有时隐约可见虫体是以口沟部位相紧贴的，能认出被染成深色的大核，在个别标本上可见纤毛。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标本取材为人工培养的处于接合生殖时期的大草履虫（Paramecium Caudatum）。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标本为整体装片，每张玻片放材料应不少于三对，并可在50×镜下的同一视野内观察到。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标本用洋红或苏木精染色，分色适当，大核明显。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草履虫体形正常，无收缩，膨胀及压裂现象。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产品应符合JY254－87《草履虫接合生殖装片》的要求。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标本在50×和100×生物显微镜下，观察草履虫分裂时的形态。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能分别认出：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a．未分裂草履虫的形态。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b．大核变长，小核分裂为二。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c．虫体中部出现缢痕，大核中间变细或断开，小核远离。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d．虫体沿中部横裂变细，尚未断开，大核缩短。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标本取材为人工培养的处于分裂时期的大草履虫（Paramecium Cauda-tum）。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标本为整体装片，每张玻片上应按1.2条的要求，依次排列成一行，并在50×镜下的同一视野内观察到各期的形态。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标本用洋红或苏木精染色，分色适当。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虫体形态正常，无收缩，膨胀、压碎、断裂等现象。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产品应符合JY255－87《草履虫分裂生殖装片》的要求。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标本在50×和100×生物显微镜下，观察囊虫的形态。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能看清头节上的四个吸盘和顶突部分的小钩。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能认出一部分颈节和囊。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标本取材为寄生于猪的链状带绦虫（Taenia Solium）的囊尾蚴。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取材应为成熟的囊尾蚴，囊不应过大，头节自囊内翻出。应达到1.2条和1.3条的要求。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标本为洋红或苏木精染色。分色适中，颈节、头节、吸盘和囊等</w:t>
            </w:r>
            <w:r>
              <w:rPr>
                <w:rFonts w:hint="eastAsia" w:ascii="宋体" w:hAnsi="宋体" w:cs="宋体"/>
                <w:i w:val="0"/>
                <w:iCs w:val="0"/>
                <w:color w:val="000000"/>
                <w:sz w:val="21"/>
                <w:szCs w:val="21"/>
                <w:u w:val="none"/>
                <w:lang w:val="en-US" w:eastAsia="zh-CN" w:bidi="ar"/>
              </w:rPr>
              <w:t xml:space="preserve">分辨</w:t>
            </w:r>
            <w:r>
              <w:rPr>
                <w:rFonts w:hint="eastAsia" w:ascii="宋体" w:hAnsi="宋体" w:eastAsia="宋体" w:cs="宋体"/>
                <w:i w:val="0"/>
                <w:iCs w:val="0"/>
                <w:color w:val="000000"/>
                <w:sz w:val="21"/>
                <w:szCs w:val="21"/>
                <w:u w:val="none"/>
                <w:lang w:val="en-US" w:eastAsia="zh-CN" w:bidi="ar"/>
              </w:rPr>
              <w:t xml:space="preserve">清楚。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囊体不破裂，可有小皱褶，头、颈无收缩现象。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每张玻片放囊虫一个，头节向上。装片时如达不到JY67—82通用技术条件2.5条的要求时，可在头节两侧垫与囊等厚的小玻璃块。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标本为特厚装片，封盖后的封盖剂必须干固，标本不能有移动现象。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产品应符合JY260－87《囊虫装片》的要求。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标本在50×和100×生物显微镜下，观察血吸虫雌雄合抱的形态和结构。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应分别认出雌、雄虫的各部主要结构：口吸盘、腹吸盘、精巢和卵巢等。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重点观察雌虫在雄虫抱雌沟内的形态。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标本选用经人工感染哺乳物后的日本血吸虫（Schistosoma Japonicum）雌雄虫合抱期的材料。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标本为洋红或苏木精染色。分色适当，各部结构显示清晰。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雌雄虫体形正常，雌体可有部分离开雌沟的现象，体外及口吸盘部位可有轻度污物，虫体可有轻度扭曲现象。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每张玻片放雌雄合抱期的虫体一条，口吸盘部向前，体侧面向上。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产品应符合JY261－87《血吸虫雌雄合抱装片》的要求。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 50×和 100×生物显微镜下，观察血吸虫雄虫的形态结构；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#2．能看清雄虫体较短粗，一般向腹面弯曲，呈新月形或 C 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#3．能看清自吸盘以后虫体侧壁向腹面围拢形成的抱雄沟；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#4．认出口吸盘、腹吸盘、精巢（一般为七个）；在腹吸盘附近，消化道分成左右两肠支；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#5．标本选用经人工感染哺乳动物后的日本血吸虫（SchistosmaJaponicum）雄性成虫；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#6．标本用苏木精或洋红染色；精巢应着色明显易于</w:t>
            </w:r>
            <w:r>
              <w:rPr>
                <w:rFonts w:hint="eastAsia" w:ascii="宋体" w:hAnsi="宋体" w:cs="宋体"/>
                <w:i w:val="0"/>
                <w:iCs w:val="0"/>
                <w:color w:val="000000"/>
                <w:sz w:val="21"/>
                <w:szCs w:val="21"/>
                <w:u w:val="none"/>
                <w:lang w:val="en-US" w:eastAsia="zh-CN" w:bidi="ar"/>
              </w:rPr>
              <w:t xml:space="preserve">辨认</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结构为淡兰色或粉红色；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#7．虫体形态正常，不扭曲，应呈新月形或 C 形，精巢可有 6～9 个；吸盘部允许有少许粘液附着；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#8．每张玻片放雄虫一条，口吸盘向前，侧面向上。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 50×和 100×生物显微镜下，观察血吸虫雌虫的形态和结构；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#2．能看清雌虫体细长，后半部较粗；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#3．应认出口吸盘、腹吸盘、子宫、卵巢、卵巢腺和卵等；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#4．在虫体后部的肠管内，可有黑褐色的色素；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#5．标本选用经人工感染哺乳动物后的日本血吸虫（SchistosmaJaponicum）雌性成虫；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#6．标本为洋红或苏木精染色，分色适当，各部位结构均显示正常；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#7．虫体形态正常，略直，不扭曲，口吸盘处可有少数粘液，体外允许有轻微微物虫卵透明；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#8．每张玻片放雌虫一条，口吸盘向前，侧面向上。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标本在50×显微镜下观察家蚊（雌）口器的形态结构。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能看清家蚊口器的上唇、下唇、下颚须，可见上下颚及舌包在下唇之鞘内。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取材于家蚊（雌）的头部。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标本为装片，每张玻片放材料一片。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至少上唇从下唇鞘中分出，一对下颚须分列两侧，上下颚及舌从下唇鞘中挑出则更好。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口器各部不得有破损现象。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 100×和 400×生物显微镜下，观察水螅过精巢横切的结构；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#2．能看清精巢、外胚层、内胚层、中胶层和消化循环腔；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#3．能认出精巢中的精细胞和精子，外胚层中的外皮肌细胞，内胚层中的内皮肌细胞还应看到间细胞和刺细胞；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#4．标本取材于经固定后仍保持其自然状态的水螅；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#5．标本为过精巢中部的切片，至少看到一个呈乳头状的精巢断面，精巢和胚层之间无裂隙，切片厚度在 7μm 以内，每张玻片放材料 1～2 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#6．标本用苏木精单一染色，分色适当；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#7．横断面完整，内、外胚层间应无裂隙，体内不得有附着物。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 100×和 400×生物显微镜下，观察水螅过卵巢横切的结构；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#2．能看清卵巢、外胚层、内胚层、中胚层和消化循环腔；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#3．应认出卵巢中的一个卵细胞和许多营养细胞，外胚层中的外皮肌细胞，内胚层中的内皮肌细胞。还应看到间细胞和刺细胞；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#4．标本取材于经固定后仍保持其自然状态的水螅；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#5．标本为过卵细胞的切片，其厚度在 7μm 以内，每张玻片放材料一片；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#6．标本为苏木精单一染色，分色适当；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#7．卵巢合胚层间无裂隙，体外不得有附着物。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标本在80x和200x学生显微镜下观察皮肤过毛囊的结构。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能看清表皮、真皮和皮下组织。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表皮为复层扁平上皮，近表面的浅层细胞有角化脱落</w:t>
            </w:r>
            <w:r>
              <w:rPr>
                <w:rFonts w:hint="eastAsia" w:ascii="宋体" w:hAnsi="宋体" w:cs="宋体"/>
                <w:i w:val="0"/>
                <w:iCs w:val="0"/>
                <w:color w:val="000000"/>
                <w:sz w:val="21"/>
                <w:szCs w:val="21"/>
                <w:u w:val="none"/>
                <w:lang w:val="en-US" w:eastAsia="zh-CN" w:bidi="ar"/>
              </w:rPr>
              <w:t xml:space="preserve">现象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在真皮和皮下组织中，分别看清皮脂腺、立毛肌、毛干、毛根，毛囊、毛球和毛乳头等，在毛发皮质近根处的细胞中含有色素颗粒。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标本应在死亡不久的尸体上取材，以成人头皮为最好，婴儿头皮也可使用。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标本以毛发的纵断方向切片，切片厚度在15μm以内，每张玻片横放材料一片。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标本上应有一根从毛于经毛根至毛乳头的毛发纵断面，或至少有一根自毛乳头向上至皮脂腺开口处的毛发纵断面。毛干和毛根不得移位。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组织无病变，毛球和毛乳头处不收缩。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如为火棉胶切片则火棉胶应无色、无污物。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非主要观察部位可有刀痕一处，或表皮、真皮间有小裂隙，但不得超过材料长度的1／3。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产品应符合JY91－82《人皮过毛囊切片》的要求。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36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标本在80x和200x学生显微镜下观察皮肤过汗腺的结构。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能看清表皮、真皮和皮下组织。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在表皮部分应看清角质层、透明层、颗粒层、棘细胞层和基底层以及穿过各层的汗腺导管。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在真皮部分除看清真皮乳头、结缔组织纤维、汗腺导管的断面外，在真皮下部和皮下组织中还应看清汗腺分泌部的断面结构。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标本应在死亡不久的尸体上取材，以成年人为好，取材部位为手掌或足部。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平行于皮嵴切片，切片厚度在20μm以内，每张玻片横放材料一片。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材料上最少应有一条与汗腺分泌或汗腺开口连接的汗腺导管，其显示长度不少于汗腺分泌部至表皮的1／3。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染色对比协调，棘细胞层、基底层和汗腺导管细胞的胞质着深并微呈蓝色，如为火棉胶切片，则火棉胶应无色、无污物。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组织无病变，非主要观察部位的刀痕或破损、裂隙不超过一处，且裂隙不得超过材料长度的1／3。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产品应符合JY92－82《人皮过汗腺切片》的要求。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#1、符合人皮过汗腺切片技术条件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标本在80x和200x学生显微镜下观察脊髓横断面的结构。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在完整的脊髓横断面上能看清被膜、灰质和白质。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在灰质中能看清中央管、神经胶质细胞的胞核、交错的神经纤维断面、前角处的运动神经原等。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能看清前正中裂、后正中沟和前、后根的痕迹以及白质中神经纤维的轴索和髓鞘的横断结构。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标本取材于哺乳动物的脊髓，取材部位为颈膨大或腰膨大处。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切片厚度在8μm以内，被膜应完整。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脊髓外形应正常，灰、白质中不得有空腔等病变现象。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w:t>
            </w:r>
            <w:r>
              <w:rPr>
                <w:rFonts w:hint="eastAsia" w:ascii="宋体" w:hAnsi="宋体" w:cs="宋体"/>
                <w:i w:val="0"/>
                <w:iCs w:val="0"/>
                <w:color w:val="000000"/>
                <w:sz w:val="21"/>
                <w:szCs w:val="21"/>
                <w:u w:val="none"/>
                <w:lang w:val="en-US" w:eastAsia="zh-CN" w:bidi="ar"/>
              </w:rPr>
              <w:t xml:space="preserve">运动神经源</w:t>
            </w:r>
            <w:r>
              <w:rPr>
                <w:rFonts w:hint="eastAsia" w:ascii="宋体" w:hAnsi="宋体" w:eastAsia="宋体" w:cs="宋体"/>
                <w:i w:val="0"/>
                <w:iCs w:val="0"/>
                <w:color w:val="000000"/>
                <w:sz w:val="21"/>
                <w:szCs w:val="21"/>
                <w:u w:val="none"/>
                <w:lang w:val="en-US" w:eastAsia="zh-CN" w:bidi="ar"/>
              </w:rPr>
              <w:t xml:space="preserve">和灰质</w:t>
            </w:r>
            <w:r>
              <w:rPr>
                <w:rFonts w:hint="eastAsia" w:ascii="宋体" w:hAnsi="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lang w:val="en-US" w:eastAsia="zh-CN" w:bidi="ar"/>
              </w:rPr>
              <w:t xml:space="preserve">可有轻微裂隙。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产品应符合JY100－82《脊髓横切》的要求。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标本在80×和200×学生显微镜下观察肌纤维和运动神经末梢的形态。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能看清被染成蓝紫色或紫红色的肌纤维，有时可见横纹。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能看清蓝黑色成束的神经纤维</w:t>
            </w:r>
            <w:r>
              <w:rPr>
                <w:rFonts w:hint="eastAsia" w:ascii="宋体" w:hAnsi="宋体" w:cs="宋体"/>
                <w:i w:val="0"/>
                <w:iCs w:val="0"/>
                <w:color w:val="000000"/>
                <w:sz w:val="21"/>
                <w:szCs w:val="21"/>
                <w:u w:val="none"/>
                <w:lang w:val="en-US" w:eastAsia="zh-CN" w:bidi="ar"/>
              </w:rPr>
              <w:t xml:space="preserve">及其分支</w:t>
            </w:r>
            <w:r>
              <w:rPr>
                <w:rFonts w:hint="eastAsia" w:ascii="宋体" w:hAnsi="宋体" w:eastAsia="宋体" w:cs="宋体"/>
                <w:i w:val="0"/>
                <w:iCs w:val="0"/>
                <w:color w:val="000000"/>
                <w:sz w:val="21"/>
                <w:szCs w:val="21"/>
                <w:u w:val="none"/>
                <w:lang w:val="en-US" w:eastAsia="zh-CN" w:bidi="ar"/>
              </w:rPr>
              <w:t xml:space="preserve">，在肌膜处形成爪状的运动终板（运动神经末梢）。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标本取材于小哺乳动物的肋间肌或其他动物的骨骼肌。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标本用甲酸、氯化金处理，显示神经纤维和运动神经末梢。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应至少能看到一支完整的神经纤维</w:t>
            </w:r>
            <w:r>
              <w:rPr>
                <w:rFonts w:hint="eastAsia" w:ascii="宋体" w:hAnsi="宋体" w:cs="宋体"/>
                <w:i w:val="0"/>
                <w:iCs w:val="0"/>
                <w:color w:val="000000"/>
                <w:sz w:val="21"/>
                <w:szCs w:val="21"/>
                <w:u w:val="none"/>
                <w:lang w:val="en-US" w:eastAsia="zh-CN" w:bidi="ar"/>
              </w:rPr>
              <w:t xml:space="preserve">及其分支</w:t>
            </w:r>
            <w:r>
              <w:rPr>
                <w:rFonts w:hint="eastAsia" w:ascii="宋体" w:hAnsi="宋体" w:eastAsia="宋体" w:cs="宋体"/>
                <w:i w:val="0"/>
                <w:iCs w:val="0"/>
                <w:color w:val="000000"/>
                <w:sz w:val="21"/>
                <w:szCs w:val="21"/>
                <w:u w:val="none"/>
                <w:lang w:val="en-US" w:eastAsia="zh-CN" w:bidi="ar"/>
              </w:rPr>
              <w:t xml:space="preserve">伸向肌纤维形成运动终板。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肌纤维应无缠绕和压碎现象，并不得与运动终板脱离。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产品应符合JY101－82《运动神经末梢装片》的要求。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标本在400x生物显微镜下观察胃壁的结构。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能看清粘膜</w:t>
            </w:r>
            <w:r>
              <w:rPr>
                <w:rFonts w:hint="eastAsia" w:ascii="宋体" w:hAnsi="宋体" w:cs="宋体"/>
                <w:i w:val="0"/>
                <w:iCs w:val="0"/>
                <w:color w:val="000000"/>
                <w:sz w:val="21"/>
                <w:szCs w:val="21"/>
                <w:u w:val="none"/>
                <w:lang w:val="en-US" w:eastAsia="zh-CN" w:bidi="ar"/>
              </w:rPr>
              <w:t xml:space="preserve">皱褶</w:t>
            </w:r>
            <w:r>
              <w:rPr>
                <w:rFonts w:hint="eastAsia" w:ascii="宋体" w:hAnsi="宋体" w:eastAsia="宋体" w:cs="宋体"/>
                <w:i w:val="0"/>
                <w:iCs w:val="0"/>
                <w:color w:val="000000"/>
                <w:sz w:val="21"/>
                <w:szCs w:val="21"/>
                <w:u w:val="none"/>
                <w:lang w:val="en-US" w:eastAsia="zh-CN" w:bidi="ar"/>
              </w:rPr>
              <w:t xml:space="preserve">、粘膜、粘膜肌层、粘膜下层、肌层、浆膜、胃小凹和胃底腺等。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能看清粘膜的上皮为单层柱状上皮、胃底腺中的壁细胞和主细胞。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粘膜下层能看清结缔组织、血管、淋巴管和神经的断面。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标本取材于小哺乳动物的胃，取材部位为胃体。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切片厚度在8μm以内，材料长度不小于5mm，每张玻片横放材料一片。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粘膜外不得附着粘液或未消化的食物，上皮细胞不得有自溶现象，其他组织无炎症及病变。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染色对比协调，主细胞、壁细胞区分明显，粘膜与粘膜下层之间不脱离，粘膜下层无破裂现象。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产品应符合JY102－82《胃壁切片》的要求。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#1、符合肾脏纵切技术条件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标本在50×和100×生物显微镜下，观察肺血管分布形态。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能看清由肺动脉形成的包绕肺泡外的毛细血管网。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可</w:t>
            </w:r>
            <w:r>
              <w:rPr>
                <w:rFonts w:hint="eastAsia" w:ascii="宋体" w:hAnsi="宋体" w:cs="宋体"/>
                <w:i w:val="0"/>
                <w:iCs w:val="0"/>
                <w:color w:val="000000"/>
                <w:sz w:val="21"/>
                <w:szCs w:val="21"/>
                <w:u w:val="none"/>
                <w:lang w:val="en-US" w:eastAsia="zh-CN" w:bidi="ar"/>
              </w:rPr>
              <w:t xml:space="preserve">辨认出</w:t>
            </w:r>
            <w:r>
              <w:rPr>
                <w:rFonts w:hint="eastAsia" w:ascii="宋体" w:hAnsi="宋体" w:eastAsia="宋体" w:cs="宋体"/>
                <w:i w:val="0"/>
                <w:iCs w:val="0"/>
                <w:color w:val="000000"/>
                <w:sz w:val="21"/>
                <w:szCs w:val="21"/>
                <w:u w:val="none"/>
                <w:lang w:val="en-US" w:eastAsia="zh-CN" w:bidi="ar"/>
              </w:rPr>
              <w:t xml:space="preserve">肺动脉，支气管动脉和各级支气管的断面结构，但不作重点观察。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标本取材于小哺乳动物的肺。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标本用洋红胶液作血管注射，胶液色泽鲜艳，无颜色沉淀，不浸染</w:t>
            </w:r>
            <w:r>
              <w:rPr>
                <w:rFonts w:hint="eastAsia" w:ascii="宋体" w:hAnsi="宋体" w:cs="宋体"/>
                <w:i w:val="0"/>
                <w:iCs w:val="0"/>
                <w:color w:val="000000"/>
                <w:sz w:val="21"/>
                <w:szCs w:val="21"/>
                <w:u w:val="none"/>
                <w:lang w:val="en-US" w:eastAsia="zh-CN" w:bidi="ar"/>
              </w:rPr>
              <w:t xml:space="preserve">其他组织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色胶注射适中，肺泡外毛细血管不可注射过于饱满，血管形态正常，无收缩现象，80%以上的血管应注射充分。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作肺叶一部分的断面切片，材料二边应具浆膜，切片厚度视注射情况在20～80μm。每张玻片放材料一片。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标本用苏木精复染细胞核。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产品应符合JY244－87《肺血管注射切片》的要求。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标本在100×和400×生物显微镜下，观察口腔上皮装片结构。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应能认出细胞膜、细胞质、细胞核的结构。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标本取材于人口腔内两侧粘膜上皮。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标本为平铺在玻片上的扁平细胞。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细胞形态正常，近圆形或椭圆形。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苏木精与曙红双重染色，对比协调。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标本在100x和400x生物显微镜下观察动物细胞有丝分裂的各期形态。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能看清细胞分裂过程中的三个时期：前期、中期和后期或中期、后期和末期。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能看清分裂前的细胞核和分裂各期的中心体（中期和后期显著）、染色体以及卵壳、</w:t>
            </w:r>
            <w:r>
              <w:rPr>
                <w:rFonts w:hint="eastAsia" w:ascii="宋体" w:hAnsi="宋体" w:cs="宋体"/>
                <w:i w:val="0"/>
                <w:iCs w:val="0"/>
                <w:color w:val="000000"/>
                <w:sz w:val="21"/>
                <w:szCs w:val="21"/>
                <w:u w:val="none"/>
                <w:lang w:val="en-US" w:eastAsia="zh-CN" w:bidi="ar"/>
              </w:rPr>
              <w:t xml:space="preserve">子宫</w:t>
            </w:r>
            <w:r>
              <w:rPr>
                <w:rFonts w:hint="eastAsia" w:ascii="宋体" w:hAnsi="宋体" w:eastAsia="宋体" w:cs="宋体"/>
                <w:i w:val="0"/>
                <w:iCs w:val="0"/>
                <w:color w:val="000000"/>
                <w:sz w:val="21"/>
                <w:szCs w:val="21"/>
                <w:u w:val="none"/>
                <w:lang w:val="en-US" w:eastAsia="zh-CN" w:bidi="ar"/>
              </w:rPr>
              <w:t xml:space="preserve">壁等，纺锤体隐约可见。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标本得材于马蛔虫子宫，作子宫的纵切片，材料长度不小于10mm，每张玻片板放材料一片；也可作子宫的横切片，每张玻片放不同部位的横切片2～4片，以保证观察到细胞分裂的各个时期。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切片厚度为6～8μm。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卵和卵壳基本呈圆形，子宫内卵应饱满，卵不得脱出卵壳外，胞核、染色体、中心体着色明显，</w:t>
            </w:r>
            <w:r>
              <w:rPr>
                <w:rFonts w:hint="eastAsia" w:ascii="宋体" w:hAnsi="宋体" w:cs="宋体"/>
                <w:i w:val="0"/>
                <w:iCs w:val="0"/>
                <w:color w:val="000000"/>
                <w:sz w:val="21"/>
                <w:szCs w:val="21"/>
                <w:u w:val="none"/>
                <w:lang w:val="en-US" w:eastAsia="zh-CN" w:bidi="ar"/>
              </w:rPr>
              <w:t xml:space="preserve">子宫</w:t>
            </w:r>
            <w:r>
              <w:rPr>
                <w:rFonts w:hint="eastAsia" w:ascii="宋体" w:hAnsi="宋体" w:eastAsia="宋体" w:cs="宋体"/>
                <w:i w:val="0"/>
                <w:iCs w:val="0"/>
                <w:color w:val="000000"/>
                <w:sz w:val="21"/>
                <w:szCs w:val="21"/>
                <w:u w:val="none"/>
                <w:lang w:val="en-US" w:eastAsia="zh-CN" w:bidi="ar"/>
              </w:rPr>
              <w:t xml:space="preserve">壁完整。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产品应符合JY84－82《动物细胞有丝分裂(马蛔虫卵切片)》的要求。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生物体的结构层次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#1、幅数7幅，对开开本,纸张规格不低于128g铜版纸，印刷符合GB/T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生物与环境</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生物圈中的绿色植物</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#1、幅数9幅，对开开本,纸张规格不低于128g铜版纸，印刷符合GB/T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生物圈中的人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#1、幅数17幅，对开开本,纸张规格不低于128g铜版纸，印刷符合GB/T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动物的运动和行为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#1、幅数5幅，对开开本,纸张规格不低于128g铜版纸，印刷符合GB/T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生物的生殖、发育和遗传</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#1、幅数8幅，对开开本,纸张规格不低于128g铜版纸，印刷符合GB/T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生物多样性</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#1、幅数11幅，对开开本,纸张规格不低于128g铜版纸，印刷符合GB/T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生物技术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健康地生活</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#1、幅数9幅，对开开本,纸张规格不低于128g铜版纸，印刷符合GB/T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青春期教育挂图</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#1、幅数20幅，对开开本,纸张规格不低于128g铜版纸，印刷符合GB/T 7705-2058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中学生物显微图谱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#1、16开，图形：逼真，封面覆膜，铜版纸彩色胶印,符合GB/T 7705-2008  《平版装潢印刷品》的要求。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生物教学投影片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#1、投影片、幻灯片</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生物教学DVD(VCD)光盘</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生物教学CD-ROM多媒体软件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生物教学图库</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生物教学数据库</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初中生物实验教学指导书</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#1、符合新课标要求。 要求：开本16开,符合GB/T 7705-2008  《平版装潢印刷品》。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初中生物实验仪器手册</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#1、符合新课标要求。 要求：开本16开,符合GB/T 7705-2008  《平版装潢印刷品》。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玻璃弯管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#1、符合GB/T12414-1995《药用玻璃管》的标准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#1、φ150mm×280mm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#1、全长不小于145mm，测量范围小于500VAC，刀杆材料选用优质CR-V钢，全硬热处理，达到CE标准。产品符合国家标准GB8218要求。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#1、磁性，一字槽,总长度158mm，主体为金属制品，长度为97mm，手柄为胶质，总长度61mm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#1、磁性,十字槽,长度158mm，主体为金属制品，长度为97mm，手柄为胶质，总长度61mm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#1、带锯条锯弓12寸,ABS柄,方管锯,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#1、材质：高碳钢，长度不小于170mm,压接范围：0.5、1、1.5、2.5、4平方毫米，其他符合QB/T 2207-1996 《剥线钳》标准。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#1、材质：45#高碳钢锻造，规格：40mm*81mm，其他符合GB 6295.1-1986 《钢丝钳》标准。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#1、全长280mm,直径∅25mm,木质手柄。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#1、材质：中碳钢，规格：8寸活动扳手，其他符合GB/T 4440-1998 《活扳手》的要求。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砂轮片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#1、断玻璃管用,直径20MM以上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3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学生分组实验仪器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#1．产品由镜座、镜臂、镜筒、准焦螺旋、物镜转换器、载物台、反光镜、目镜、物镜等组成；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#2．除调焦手轮和镜片外，整体采用金属材料制造；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#3．放大倍率：500×或 640×；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#4．消色差物镜：10×、40×、4×；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#5．单目 45°，斜筒，可 360°旋转；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#6．惠更斯目镜：12．5 或 16×，广角：10×；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#7．反光镜一面为平面，一面为凹面；反光镜直径为 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#8．粗动调焦范围为 23mm，微动调焦范围 1．8-2．2mm；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#9．移动尺：纵向调节范围：≥25mm，横向调节范围：≥50mm；游标读数精度：0．1mm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#1、目镜：大视野广角WF16X13mm；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#2、物镜：4X、10X、40X（弹簧）；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#3、镜筒：单目观察筒，45度倾斜，360度旋转；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#4、转换器：三孔转换器，保证齐焦，转换器稳定性≤0.025mm；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#5、载物台：金属平台，平台面积110X120mm；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#6、聚光镜：单片聚光镜，数值孔径N.A0.65；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#7、光源：LED高亮度光源，带充电功能，亮度可调，可与反光镜互换。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双目立体显微镜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总高度不小于40cm。材料要求:底座、镜臂、齿条、物镜和目镜镜筒均为金属制。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总放大倍数：20-40倍。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目镜:WF10X。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物镜：变倍筒物镜:2X-4X分档变倍物镜组。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调焦范围: 40mm。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行程范围:90mm。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#7.照明：自然光。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#8.符合GB/T2985-1995《生物显微镜》。木箱包装。</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#1、3倍,通光孔48mm,手柄长56mm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#1、双筒，目镜口径30mm，物镜口径50mm。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移液器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#1、0.5mL～5mL，快速可调</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#1.听诊器传音清晰，扁形听诊头的上膜片不应松动；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#2.耳环弹簧片应用弹簧钢制成，弹力应适宜，弹性应良好；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#3.三通导管总长为600mm；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#4.扁形听诊头内腔不得有裂痕、砂眼，听诊器各部的外型应对称，不得有裂纹，凹陷和镀层脱落及焊接处残留、堆积现象。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整理箱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#1、矮型，储存及分发药品用，环保塑料材质。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#1.由铁环和3只脚组成。铁环内径：74mm， 外径：90mm。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#1．产品由顶板、底板、插杆组成，8孔、8插。</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#1.规格：1500mm。软尺最小分度值为1cm，分度值之间有相应的数字，刻度线均匀、清晰，无形变。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测微尺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#1.物镜测微尺是一标淮刻尺，纵横坐标刻划长度为100mm，分为100等分，每一分度值为0.01mm,台式，显微镜用。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#1.200g，0.2g</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#2、教学用电子秒表，采用电子芯片，电池电压为1.5V。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#3、数据可精确到0.01s。秒表计时应带有简易计时、分段计时、时间显示，带暂停按钮。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#4、秒表具有每小时报时，每日定时响闹及自动重响功能，应可显示时间，12及24小时制式，日历、星期、防水，防震结构等功能。</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红液。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尺寸要求不小于：长300mm；外径：5mm；头：10mm。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测量范围：0－100℃；。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玻管要直，不得弯曲，不得</w:t>
            </w:r>
            <w:r>
              <w:rPr>
                <w:rFonts w:hint="eastAsia" w:ascii="宋体" w:hAnsi="宋体" w:cs="宋体"/>
                <w:i w:val="0"/>
                <w:iCs w:val="0"/>
                <w:color w:val="000000"/>
                <w:sz w:val="21"/>
                <w:szCs w:val="21"/>
                <w:u w:val="none"/>
                <w:lang w:val="en-US" w:eastAsia="zh-CN" w:bidi="ar"/>
              </w:rPr>
              <w:t xml:space="preserve">破损</w:t>
            </w:r>
            <w:r>
              <w:rPr>
                <w:rFonts w:hint="eastAsia" w:ascii="宋体" w:hAnsi="宋体" w:eastAsia="宋体" w:cs="宋体"/>
                <w:i w:val="0"/>
                <w:iCs w:val="0"/>
                <w:color w:val="000000"/>
                <w:sz w:val="21"/>
                <w:szCs w:val="21"/>
                <w:u w:val="none"/>
                <w:lang w:val="en-US" w:eastAsia="zh-CN" w:bidi="ar"/>
              </w:rPr>
              <w:t xml:space="preserve">缺口，红液不得断线。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产品应符合《玻璃仪器通用技术要求》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#6．要符合技术标准的要求JJG 130《温度计》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干湿球温度计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总长不小于15cm。测量温度范围：  0～50℃，分度值：2℃，每度标度线间距不小于3 mm。温度示值允许误差±1℃。教学演示效果明显。符合JY0001－2003《教学仪器设备产品一般质量要求》的有关规定。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#1．手持式，金属外壳。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#1．用优质不锈钢制成。由直刃解剖刀、尖头解剖剪、普通镊子、解剖针等组成。大剪刀长度不小于15cm，其余长度均不应小于10cm。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产品为盛有石蜡的金属盘。解剖盘用铝合金板或不锈钢板冲压成型。外型尺寸不小于240mmX190mm×15mm。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接种环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#1、产品由镍铬丝和金属棒杆、塑料柄等组成。金属棒杆直径约Φ4mm，一端开口配有透孔紧固螺母，另一端有塑料手柄，并配有Φ0.5镍铬丝。</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植物光合作用、呼吸作用、蒸腾作用演示器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#1、产品由透明容器、集气盖、试管、漏斗、盖板和试管架等部件组成。透明容器为透明有机玻璃板粘接而成。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徒手切片器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规格及主要指标：分度值0.02mm，升降范围0～10mm，精度0.01～0.10mm，外形尺寸应不小于73～80mm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夹持部分可靠，推进机构灵活、稳定，无跳动现象，刻度应准确。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平台应平整、光滑，无明显机械缺陷。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金属件应作镀铬处理，无漏底及镀层剥落现象。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产品应符合JY0001-2003中6.1～6.12各项要求。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研磨过滤器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研磨过滤器由顶盖、研磨杆、过滤网、研磨头、外套筒组成。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规格：自然大。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模型的外形按照标本复制，沿左右心耳的上方和左右心房、心室的两侧至心尖，剖开心脏的胸肋面，将心脏分成前后两部件。主要部件。主要显示心脏的外形、冠状动静脉、出入心脏的大血管、左右心房和心室的结构、形态、毗邻、位置关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心脏模型的后部分主要显示：连接出入心脏的升主动脉、肺动脉、肺静脉及上下腔静脉等。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出入心脏的大血管主要显示它们的位置关系、主动脉弓、肺动脉的主要分支及上下腔静脉、肺静脉的主要属支，同时还显示主动脉、肺动脉半月瓣。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心外形主要显示：浅层心肌纤维、冠状沟、前室间沟、后室间沟、心尖切迹和房间沟等。心腔主要显示左右心房、心室的结构和四腔的位置关系。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右心房：显示上下腔静脉口、冠状窦口、冠状窦瓣、卵圆窝和右房室口。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右心室：显示肉柱、乳头肌、隔缘肉柱、三尖瓣环、动脉圆锥、肺动脉瓣等。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左心房：显示前部的左心耳和左肺静脉、右肺静脉、左房室口的开口。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左心室：显示位于窦部的二尖瓣和主动脉前庭部的主动脉口、主动脉瓣等。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91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#1．标本在80x和200x学生显微镜下观察根尖的结构。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#2．能看清根冠、分生区、伸长区、根毛区和原形成层等。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#3．根毛与表皮细胞无间隔，可不要求看到根毛内的胞核。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#4．标本取于人工培养的玉米根，取材部位为根冠至根毛区。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#5．标本的纵切面应与原形成层平行，</w:t>
            </w:r>
            <w:r>
              <w:rPr>
                <w:rFonts w:hint="eastAsia" w:ascii="宋体" w:hAnsi="宋体" w:cs="宋体"/>
                <w:i w:val="0"/>
                <w:iCs w:val="0"/>
                <w:color w:val="000000"/>
                <w:sz w:val="21"/>
                <w:szCs w:val="21"/>
                <w:u w:val="none"/>
                <w:lang w:val="en-US" w:eastAsia="zh-CN" w:bidi="ar"/>
              </w:rPr>
              <w:t xml:space="preserve">并通</w:t>
            </w:r>
            <w:r>
              <w:rPr>
                <w:rFonts w:hint="eastAsia" w:ascii="宋体" w:hAnsi="宋体" w:eastAsia="宋体" w:cs="宋体"/>
                <w:i w:val="0"/>
                <w:iCs w:val="0"/>
                <w:color w:val="000000"/>
                <w:sz w:val="21"/>
                <w:szCs w:val="21"/>
                <w:u w:val="none"/>
                <w:lang w:val="en-US" w:eastAsia="zh-CN" w:bidi="ar"/>
              </w:rPr>
              <w:t xml:space="preserve">过原形成层。原形成层顶端至分生区顶端的距离应在基本分生组织厚度的1／3以内。如无完整根毛时，则至少应有一处表皮细胞能显示形成根毛之特征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#6．切片厚度在8μm以内，每张玻片垂放材料1～2片。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#7．胞核着色明显，可见核仁，胞质着色均匀。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#8．产品应符合JY68－82《植物根尖纵切》的要求。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标本在100x和400X生物显微镜下观察顶芽纵断面的结构。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能看清生长锥、叶原基、幼叶、腋芽原基和芽轴等。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生长锥最外层为排列整齐的原套细胞。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原套内为排列不整齐细胞体较大的原体细胞。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标本取材为黑藻顶芽。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做芽的中部纵切,切片厚度在8μm 以内,每张玻片垂直放材料一片。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应使幼叶完全包在生长锥上，原套细胞形态正常。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生长锥及幼叶处细胞无“质壁分离”现象。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产品应符合JY70-82《顶芽纵切》的要求。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基本在80x和200x学生显微镜下观察南瓜茎纵横断面的结构。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w:t>
            </w:r>
            <w:r>
              <w:rPr>
                <w:rFonts w:hint="eastAsia" w:ascii="宋体" w:hAnsi="宋体" w:cs="宋体"/>
                <w:i w:val="0"/>
                <w:iCs w:val="0"/>
                <w:color w:val="000000"/>
                <w:sz w:val="21"/>
                <w:szCs w:val="21"/>
                <w:u w:val="none"/>
                <w:lang w:val="en-US" w:eastAsia="zh-CN" w:bidi="ar"/>
              </w:rPr>
              <w:t xml:space="preserve">横断</w:t>
            </w:r>
            <w:r>
              <w:rPr>
                <w:rFonts w:hint="eastAsia" w:ascii="宋体" w:hAnsi="宋体" w:eastAsia="宋体" w:cs="宋体"/>
                <w:i w:val="0"/>
                <w:iCs w:val="0"/>
                <w:color w:val="000000"/>
                <w:sz w:val="21"/>
                <w:szCs w:val="21"/>
                <w:u w:val="none"/>
                <w:lang w:val="en-US" w:eastAsia="zh-CN" w:bidi="ar"/>
              </w:rPr>
              <w:t xml:space="preserve">面上能看清皮层、机械组织、薄壁组织、双韧维管束和髓腔，在表皮上可见表皮毛，在纵断面上应能看清上述组织的纵断结构。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在双韧维管</w:t>
            </w:r>
            <w:r>
              <w:rPr>
                <w:rFonts w:hint="eastAsia" w:ascii="宋体" w:hAnsi="宋体" w:cs="宋体"/>
                <w:i w:val="0"/>
                <w:iCs w:val="0"/>
                <w:color w:val="000000"/>
                <w:sz w:val="21"/>
                <w:szCs w:val="21"/>
                <w:u w:val="none"/>
                <w:lang w:val="en-US" w:eastAsia="zh-CN" w:bidi="ar"/>
              </w:rPr>
              <w:t xml:space="preserve">束</w:t>
            </w:r>
            <w:r>
              <w:rPr>
                <w:rFonts w:hint="eastAsia" w:ascii="宋体" w:hAnsi="宋体" w:eastAsia="宋体" w:cs="宋体"/>
                <w:i w:val="0"/>
                <w:iCs w:val="0"/>
                <w:color w:val="000000"/>
                <w:sz w:val="21"/>
                <w:szCs w:val="21"/>
                <w:u w:val="none"/>
                <w:lang w:val="en-US" w:eastAsia="zh-CN" w:bidi="ar"/>
              </w:rPr>
              <w:t xml:space="preserve">的横断面上能看清导管、形成层、筛管和筛板，筛板上有筛孔。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在纵断面上能看清网纹导管或环纹导管或螺纹导管中的两种和筛管、筛板等的结构。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标本取材于田间种植的南瓜茎，注意老幼适中。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纵横切片的厚度为15～25μm。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纵切材料应两端整齐，长度不小于5mm，表皮细胞完整，木质导管基本连续。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标本用蕾红、固绿染色，机械组织、木质部导管红色，其他组织绿色，筛板可呈红或绿色。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 71-82《南瓜茎横切、南瓜茎纵切》的要求。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标本在80×和200×学生显微镜下,观察双子叶植物茎横断面的结构。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能看清表皮（有时可看到表皮毛）厚角组织、薄壁组织、髓及环列于茎中的维管束等。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能看清维管束为外韧型，分别认出韧皮纤维、筛板、筛管、形成层和木质导管等横断结构。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标本取材于椴木。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切片厚度在25μm以内。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表皮、厚角组织、薄壁组织和维管束等处细胞倾斜部分不超过茎横断面的1/4。形成层形态正常。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标本用番红、固绿染色，导管、厚壁组织，呈红色，</w:t>
            </w:r>
            <w:r>
              <w:rPr>
                <w:rFonts w:hint="eastAsia" w:ascii="宋体" w:hAnsi="宋体" w:cs="宋体"/>
                <w:i w:val="0"/>
                <w:iCs w:val="0"/>
                <w:color w:val="000000"/>
                <w:sz w:val="21"/>
                <w:szCs w:val="21"/>
                <w:u w:val="none"/>
                <w:lang w:val="en-US" w:eastAsia="zh-CN" w:bidi="ar"/>
              </w:rPr>
              <w:t xml:space="preserve">其他组织</w:t>
            </w:r>
            <w:r>
              <w:rPr>
                <w:rFonts w:hint="eastAsia" w:ascii="宋体" w:hAnsi="宋体" w:eastAsia="宋体" w:cs="宋体"/>
                <w:i w:val="0"/>
                <w:iCs w:val="0"/>
                <w:color w:val="000000"/>
                <w:sz w:val="21"/>
                <w:szCs w:val="21"/>
                <w:u w:val="none"/>
                <w:lang w:val="en-US" w:eastAsia="zh-CN" w:bidi="ar"/>
              </w:rPr>
              <w:t xml:space="preserve">绿色，厚角组织、筛板等有时也可呈红色。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应符合JY67－82《生物玻片标本通用技术条件（试行）》的规定。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产品应符合JY233－87《双子叶植物茎横切》的要求。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标本在400×生物显微镜下植物细胞有丝分裂的各期形态。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期能看清分裂期间的细胞和分裂过程中的前期、中期、后期、末期的分裂形态。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还能看清分裂各期染色体的位置，纺锤体隐约可见。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标本取材于人工培养的细胞分裂旺盛时期的洋葱根尖，根的上端应切齐。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切片厚度为5μm，每张玻片垂直放材料1～3片。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根尖应完整无破损现象，细胞间可有轻微裂隙。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标本单一染色，胞核、核仁、染色体应着色明显，胞质色淡。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产品应符合JY83－82《JY 83-82)植物细胞有丝分裂(洋葱根尖纵切)》的要求。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标本在80×和200×学生显微镜下，观察迎春叶横断面。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能看清上下表皮，气孔的断面、栅状组织、海绵组织、叶脉等。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在栅栏组织和海绵组织的细胞中能看清胞核和叶绿体。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在主脉的横切断面上看清木质部韧皮部形成层和机械组织。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在主脉两侧可见到侧脉的横或纵断面，也应看清木质部和韧皮部，有时可见木质部导管的纵切面。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标本取材为迎春叶。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作过主脉的横切片厚度为8微米，每张玻片横放材料一片。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标本在200x学生显微镜下观察青霉的形态。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在400X镜下能看清帚状枝的梗基和小梗及小梗上呈链状的分生孢子。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标本取材为人工培养的典型青霉。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视菌株培养</w:t>
            </w:r>
            <w:r>
              <w:rPr>
                <w:rFonts w:hint="eastAsia" w:ascii="宋体" w:hAnsi="宋体" w:cs="宋体"/>
                <w:i w:val="0"/>
                <w:iCs w:val="0"/>
                <w:color w:val="000000"/>
                <w:sz w:val="21"/>
                <w:szCs w:val="21"/>
                <w:u w:val="none"/>
                <w:lang w:val="en-US" w:eastAsia="zh-CN" w:bidi="ar"/>
              </w:rPr>
              <w:t xml:space="preserve">情况</w:t>
            </w:r>
            <w:r>
              <w:rPr>
                <w:rFonts w:hint="eastAsia" w:ascii="宋体" w:hAnsi="宋体" w:eastAsia="宋体" w:cs="宋体"/>
                <w:i w:val="0"/>
                <w:iCs w:val="0"/>
                <w:color w:val="000000"/>
                <w:sz w:val="21"/>
                <w:szCs w:val="21"/>
                <w:u w:val="none"/>
                <w:lang w:val="en-US" w:eastAsia="zh-CN" w:bidi="ar"/>
              </w:rPr>
              <w:t xml:space="preserve">可做装片或切氏切片方向应平行于分生孢子梗，厚度根据菌株培养情况决定。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标本单一染色，菌丝、分生孢子梗、分生孢子应着色明显、对比协调。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分生孢子梗不应断裂，散落的</w:t>
            </w:r>
            <w:r>
              <w:rPr>
                <w:rFonts w:hint="eastAsia" w:ascii="宋体" w:hAnsi="宋体" w:cs="宋体"/>
                <w:i w:val="0"/>
                <w:iCs w:val="0"/>
                <w:color w:val="000000"/>
                <w:sz w:val="21"/>
                <w:szCs w:val="21"/>
                <w:u w:val="none"/>
                <w:lang w:val="en-US" w:eastAsia="zh-CN" w:bidi="ar"/>
              </w:rPr>
              <w:t xml:space="preserve">孢子</w:t>
            </w:r>
            <w:r>
              <w:rPr>
                <w:rFonts w:hint="eastAsia" w:ascii="宋体" w:hAnsi="宋体" w:eastAsia="宋体" w:cs="宋体"/>
                <w:i w:val="0"/>
                <w:iCs w:val="0"/>
                <w:color w:val="000000"/>
                <w:sz w:val="21"/>
                <w:szCs w:val="21"/>
                <w:u w:val="none"/>
                <w:lang w:val="en-US" w:eastAsia="zh-CN" w:bidi="ar"/>
              </w:rPr>
              <w:t xml:space="preserve">不得影响对特征的观察。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菌丝、孢子梗、孢子应无收缩现象。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应能看到不少于五个模式的帚状枝。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无杂菌、无污物，培养基和包埋剂无色。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产品应符合JY76－82《青霉装片》的要求。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在500x生物显微镜下观察细菌的三种基本形态。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清晰地看出球菌、杆菌、螺旋菌的形态，不要求显示鞭毛。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标本一般应取材于人工培养的球菌、杆菌、螺旋菌。球菌可用单球菌、双球菌成葡萄球菌，杆菌可用枯草杆菌、大肠杆菌或炭疽杆菌，螺旋菌可用具有一个穹以上的任一种螺旋菌。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在自然界的污水中可采到三种形态的细菌混合物，其中无原生动物时也可应用。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作三种细菌的混合涂片，所用载玻片应经洗液清洗。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选用能清晰显示菌体的染色方法，并不得有任何沉淀物。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产品应符合JY78－82《细菌三型涂片》的要求。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标本在100×和400×生物显微镜下，观察曲霉的形态。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能看清营养菌丝，及其上的分生孢子梗、顶囊和顶端的分生孢子。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能认出分生孢子穗的小梗和成串的分生孢子。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标本取材于人工培养的曲霉属任一种。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视菌株培养的情况，可做装片或切片，切片方向应平行于分生孢子梗，切片厚度根据</w:t>
            </w:r>
            <w:r>
              <w:rPr>
                <w:rFonts w:hint="eastAsia" w:ascii="宋体" w:hAnsi="宋体" w:cs="宋体"/>
                <w:i w:val="0"/>
                <w:iCs w:val="0"/>
                <w:color w:val="000000"/>
                <w:sz w:val="21"/>
                <w:szCs w:val="21"/>
                <w:u w:val="none"/>
                <w:lang w:val="en-US" w:eastAsia="zh-CN" w:bidi="ar"/>
              </w:rPr>
              <w:t xml:space="preserve">菌株</w:t>
            </w:r>
            <w:r>
              <w:rPr>
                <w:rFonts w:hint="eastAsia" w:ascii="宋体" w:hAnsi="宋体" w:eastAsia="宋体" w:cs="宋体"/>
                <w:i w:val="0"/>
                <w:iCs w:val="0"/>
                <w:color w:val="000000"/>
                <w:sz w:val="21"/>
                <w:szCs w:val="21"/>
                <w:u w:val="none"/>
                <w:lang w:val="en-US" w:eastAsia="zh-CN" w:bidi="ar"/>
              </w:rPr>
              <w:t xml:space="preserve">培养情况决定。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标本为单一染色，不复染。菌丝，分生孢子梗，分生孢子应着色明显。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分生孢子玻不应断裂，散落的老孢子不得影响对特征的观察。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菌丝、孢子玻和孢子应无收短现象。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应能看到不少于五个模式的分生孢子穗。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无杂菌，无污物，培养基或包埋剂无色。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产品应符合JY252-87《曲霉装片》的要求。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标本在100×显微镜下观察。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取材为形体完整并带芽体的水螅。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水螅体壁不皱缩、不破损、芽体无脱开现象。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能看清芽体空腔与消化循环腔相通。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封盖后水螅体无挤压现象，可在水螅体四周填以玻璃小片，再行封固。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纤维结缔组织切片(腱纵切)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角质标本在400x生物显微镜下观察膛纵断面的结构。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能看清乎行排列的胶原纤维束和呈不规则四边形的腱细胞，但在标本上由于腱细胞的切面方向不同，也可呈长条形。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腱细胞核呈球形，偏于细胞一端，和邻近的细胞核并列在一起，但在标本上由于腱细胞的切面方向不同，也可呈长圆或扁圆形。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标本取材于哺乳动物或两栖动物的跟腱或尾腱，并应保持其自然伸直状态。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作腱的纵断面切片，切片厚度在15μm以内，材料长度应不小于4mm。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胶原纤维束应伸直，可有部分略呈波纹状，但不得有断裂或卷曲现象。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腱细胞核着色应明显，胞质略着色，使其与胶原纤维束易于区分。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纵向裂隙不得超过一处。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产品应符合JY93－82《纤维结缔组织装片(腱纵切)》的要求。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标本在80x和200x学生显微镜下观察疏松结缔组织的结构。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能看清纵横交错的胶原纤维和弹力纤维以及大量的成纤维细胞，胞核较大呈卵圆形。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疏松结缔组织内的其他细胞不要求显示。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标本取材于哺乳动物的皮下结缔组织，均匀平铺于载玻片正中。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平铺的结缔组织中不得</w:t>
            </w:r>
            <w:r>
              <w:rPr>
                <w:rFonts w:hint="eastAsia" w:ascii="宋体" w:hAnsi="宋体" w:cs="宋体"/>
                <w:i w:val="0"/>
                <w:iCs w:val="0"/>
                <w:color w:val="000000"/>
                <w:sz w:val="21"/>
                <w:szCs w:val="21"/>
                <w:u w:val="none"/>
                <w:lang w:val="en-US" w:eastAsia="zh-CN" w:bidi="ar"/>
              </w:rPr>
              <w:t xml:space="preserve">混入</w:t>
            </w:r>
            <w:r>
              <w:rPr>
                <w:rFonts w:hint="eastAsia" w:ascii="宋体" w:hAnsi="宋体" w:eastAsia="宋体" w:cs="宋体"/>
                <w:i w:val="0"/>
                <w:iCs w:val="0"/>
                <w:color w:val="000000"/>
                <w:sz w:val="21"/>
                <w:szCs w:val="21"/>
                <w:u w:val="none"/>
                <w:lang w:val="en-US" w:eastAsia="zh-CN" w:bidi="ar"/>
              </w:rPr>
              <w:t xml:space="preserve">动物的毛。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标本用显示弹力纤维的方法染色，再复染胶原纤维等。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弹力纤维应明显，胶原纤维均匀、形态正常，不得有溶解现象；成纤维细胞的胞核不收缩，并可见胞质。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产品应符合JY94－82《疏松结缔组织装片》的要求。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标本在400x生物显微镜下观察血液中血胞的形态。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能看清红血细胞和白血细胞，有时可见血小板。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标本取材于人的新鲜血液，血细胞变形者，不宜使用。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血膜应涂布均匀、无污物，血细胞不重叠、无变形和自溶现象。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用苏木精、曙红双重染色。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染色要均匀，白血细胞的胞核和血小板呈</w:t>
            </w:r>
            <w:r>
              <w:rPr>
                <w:rFonts w:hint="eastAsia" w:ascii="宋体" w:hAnsi="宋体" w:cs="宋体"/>
                <w:i w:val="0"/>
                <w:iCs w:val="0"/>
                <w:color w:val="000000"/>
                <w:sz w:val="21"/>
                <w:szCs w:val="21"/>
                <w:u w:val="none"/>
                <w:lang w:val="en-US" w:eastAsia="zh-CN" w:bidi="ar"/>
              </w:rPr>
              <w:t xml:space="preserve">蓝紫色</w:t>
            </w:r>
            <w:r>
              <w:rPr>
                <w:rFonts w:hint="eastAsia" w:ascii="宋体" w:hAnsi="宋体" w:eastAsia="宋体" w:cs="宋体"/>
                <w:i w:val="0"/>
                <w:iCs w:val="0"/>
                <w:color w:val="000000"/>
                <w:sz w:val="21"/>
                <w:szCs w:val="21"/>
                <w:u w:val="none"/>
                <w:lang w:val="en-US" w:eastAsia="zh-CN" w:bidi="ar"/>
              </w:rPr>
              <w:t xml:space="preserve">，白血细胞的胞质和红血细胞呈粉红色，血浆不着色。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产品应符合JY95－82《人血涂片》的要求。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标本在80X和200X学生显微镜下观察骨骼肌纵横切破片标志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在纵断面上</w:t>
            </w:r>
            <w:r>
              <w:rPr>
                <w:rFonts w:hint="eastAsia" w:ascii="宋体" w:hAnsi="宋体" w:cs="宋体"/>
                <w:i w:val="0"/>
                <w:iCs w:val="0"/>
                <w:color w:val="000000"/>
                <w:sz w:val="21"/>
                <w:szCs w:val="21"/>
                <w:u w:val="none"/>
                <w:lang w:val="en-US" w:eastAsia="zh-CN" w:bidi="ar"/>
              </w:rPr>
              <w:t xml:space="preserve">能</w:t>
            </w:r>
            <w:r>
              <w:rPr>
                <w:rFonts w:hint="eastAsia" w:ascii="宋体" w:hAnsi="宋体" w:eastAsia="宋体" w:cs="宋体"/>
                <w:i w:val="0"/>
                <w:iCs w:val="0"/>
                <w:color w:val="000000"/>
                <w:sz w:val="21"/>
                <w:szCs w:val="21"/>
                <w:u w:val="none"/>
                <w:lang w:val="en-US" w:eastAsia="zh-CN" w:bidi="ar"/>
              </w:rPr>
              <w:t xml:space="preserve">看清肌外膜和成束的股</w:t>
            </w:r>
            <w:r>
              <w:rPr>
                <w:rFonts w:hint="eastAsia" w:ascii="宋体" w:hAnsi="宋体" w:cs="宋体"/>
                <w:i w:val="0"/>
                <w:iCs w:val="0"/>
                <w:color w:val="000000"/>
                <w:sz w:val="21"/>
                <w:szCs w:val="21"/>
                <w:u w:val="none"/>
                <w:lang w:val="en-US" w:eastAsia="zh-CN" w:bidi="ar"/>
              </w:rPr>
              <w:t xml:space="preserve">纤维</w:t>
            </w:r>
            <w:r>
              <w:rPr>
                <w:rFonts w:hint="eastAsia" w:ascii="宋体" w:hAnsi="宋体" w:eastAsia="宋体" w:cs="宋体"/>
                <w:i w:val="0"/>
                <w:iCs w:val="0"/>
                <w:color w:val="000000"/>
                <w:sz w:val="21"/>
                <w:szCs w:val="21"/>
                <w:u w:val="none"/>
                <w:lang w:val="en-US" w:eastAsia="zh-CN" w:bidi="ar"/>
              </w:rPr>
              <w:t xml:space="preserve">,股纤维上有显暗相间的横纹,即明带和暗带。在肌膜下可见圆形或长形的胞核。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在横断面上</w:t>
            </w:r>
            <w:r>
              <w:rPr>
                <w:rFonts w:hint="eastAsia" w:ascii="宋体" w:hAnsi="宋体" w:cs="宋体"/>
                <w:i w:val="0"/>
                <w:iCs w:val="0"/>
                <w:color w:val="000000"/>
                <w:sz w:val="21"/>
                <w:szCs w:val="21"/>
                <w:u w:val="none"/>
                <w:lang w:val="en-US" w:eastAsia="zh-CN" w:bidi="ar"/>
              </w:rPr>
              <w:t xml:space="preserve">能</w:t>
            </w:r>
            <w:r>
              <w:rPr>
                <w:rFonts w:hint="eastAsia" w:ascii="宋体" w:hAnsi="宋体" w:eastAsia="宋体" w:cs="宋体"/>
                <w:i w:val="0"/>
                <w:iCs w:val="0"/>
                <w:color w:val="000000"/>
                <w:sz w:val="21"/>
                <w:szCs w:val="21"/>
                <w:u w:val="none"/>
                <w:lang w:val="en-US" w:eastAsia="zh-CN" w:bidi="ar"/>
              </w:rPr>
              <w:t xml:space="preserve">看清肌外膜、肌束膜、肌纤维及其胞核和小血管等。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标本取材于哺乳动物的隔肌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纵横切片的厚度均在8μm</w:t>
            </w:r>
            <w:r>
              <w:rPr>
                <w:rFonts w:hint="eastAsia" w:ascii="宋体" w:hAnsi="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t xml:space="preserve">每张玻片放纵、横切各一片。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明暗带及胞核等应着色清晰,对比协调。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纵切材料的肌纤维应伸直,成纵断面的肌纤维不得</w:t>
            </w:r>
            <w:r>
              <w:rPr>
                <w:rFonts w:hint="eastAsia" w:ascii="宋体" w:hAnsi="宋体" w:cs="宋体"/>
                <w:i w:val="0"/>
                <w:iCs w:val="0"/>
                <w:color w:val="000000"/>
                <w:sz w:val="21"/>
                <w:szCs w:val="21"/>
                <w:u w:val="none"/>
                <w:lang w:val="en-US" w:eastAsia="zh-CN" w:bidi="ar"/>
              </w:rPr>
              <w:t xml:space="preserve">小于</w:t>
            </w:r>
            <w:r>
              <w:rPr>
                <w:rFonts w:hint="eastAsia" w:ascii="宋体" w:hAnsi="宋体" w:eastAsia="宋体" w:cs="宋体"/>
                <w:i w:val="0"/>
                <w:iCs w:val="0"/>
                <w:color w:val="000000"/>
                <w:sz w:val="21"/>
                <w:szCs w:val="21"/>
                <w:u w:val="none"/>
                <w:lang w:val="en-US" w:eastAsia="zh-CN" w:bidi="ar"/>
              </w:rPr>
              <w:t xml:space="preserve">90%,肌膜无裂隙; 横切材料肌纤维囊应不收缩、无裂隙;纵横切材料的肌</w:t>
            </w:r>
            <w:r>
              <w:rPr>
                <w:rFonts w:hint="eastAsia" w:ascii="宋体" w:hAnsi="宋体" w:cs="宋体"/>
                <w:i w:val="0"/>
                <w:iCs w:val="0"/>
                <w:color w:val="000000"/>
                <w:sz w:val="21"/>
                <w:szCs w:val="21"/>
                <w:u w:val="none"/>
                <w:lang w:val="en-US" w:eastAsia="zh-CN" w:bidi="ar"/>
              </w:rPr>
              <w:t xml:space="preserve">膜</w:t>
            </w:r>
            <w:r>
              <w:rPr>
                <w:rFonts w:hint="eastAsia" w:ascii="宋体" w:hAnsi="宋体" w:eastAsia="宋体" w:cs="宋体"/>
                <w:i w:val="0"/>
                <w:iCs w:val="0"/>
                <w:color w:val="000000"/>
                <w:sz w:val="21"/>
                <w:szCs w:val="21"/>
                <w:u w:val="none"/>
                <w:lang w:val="en-US" w:eastAsia="zh-CN" w:bidi="ar"/>
              </w:rPr>
              <w:t xml:space="preserve">,肌外膜均应完整无皱褶。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产品应符合JY96－82《骨骼肌纵横切片》的要求。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标本在80X和200X学生显微镜下观察骨骼肌纵横切破片标志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在纵断面上</w:t>
            </w:r>
            <w:r>
              <w:rPr>
                <w:rFonts w:hint="eastAsia" w:ascii="宋体" w:hAnsi="宋体" w:cs="宋体"/>
                <w:i w:val="0"/>
                <w:iCs w:val="0"/>
                <w:color w:val="000000"/>
                <w:sz w:val="21"/>
                <w:szCs w:val="21"/>
                <w:u w:val="none"/>
                <w:lang w:val="en-US" w:eastAsia="zh-CN" w:bidi="ar"/>
              </w:rPr>
              <w:t xml:space="preserve">能</w:t>
            </w:r>
            <w:r>
              <w:rPr>
                <w:rFonts w:hint="eastAsia" w:ascii="宋体" w:hAnsi="宋体" w:eastAsia="宋体" w:cs="宋体"/>
                <w:i w:val="0"/>
                <w:iCs w:val="0"/>
                <w:color w:val="000000"/>
                <w:sz w:val="21"/>
                <w:szCs w:val="21"/>
                <w:u w:val="none"/>
                <w:lang w:val="en-US" w:eastAsia="zh-CN" w:bidi="ar"/>
              </w:rPr>
              <w:t xml:space="preserve">看清肌外膜和成束的股</w:t>
            </w:r>
            <w:r>
              <w:rPr>
                <w:rFonts w:hint="eastAsia" w:ascii="宋体" w:hAnsi="宋体" w:cs="宋体"/>
                <w:i w:val="0"/>
                <w:iCs w:val="0"/>
                <w:color w:val="000000"/>
                <w:sz w:val="21"/>
                <w:szCs w:val="21"/>
                <w:u w:val="none"/>
                <w:lang w:val="en-US" w:eastAsia="zh-CN" w:bidi="ar"/>
              </w:rPr>
              <w:t xml:space="preserve">纤维</w:t>
            </w:r>
            <w:r>
              <w:rPr>
                <w:rFonts w:hint="eastAsia" w:ascii="宋体" w:hAnsi="宋体" w:eastAsia="宋体" w:cs="宋体"/>
                <w:i w:val="0"/>
                <w:iCs w:val="0"/>
                <w:color w:val="000000"/>
                <w:sz w:val="21"/>
                <w:szCs w:val="21"/>
                <w:u w:val="none"/>
                <w:lang w:val="en-US" w:eastAsia="zh-CN" w:bidi="ar"/>
              </w:rPr>
              <w:t xml:space="preserve">,股纤维上有显暗相间的横纹,即明带和暗带。在肌膜下可见圆形或长形的胞核。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在横断面上</w:t>
            </w:r>
            <w:r>
              <w:rPr>
                <w:rFonts w:hint="eastAsia" w:ascii="宋体" w:hAnsi="宋体" w:cs="宋体"/>
                <w:i w:val="0"/>
                <w:iCs w:val="0"/>
                <w:color w:val="000000"/>
                <w:sz w:val="21"/>
                <w:szCs w:val="21"/>
                <w:u w:val="none"/>
                <w:lang w:val="en-US" w:eastAsia="zh-CN" w:bidi="ar"/>
              </w:rPr>
              <w:t xml:space="preserve">能</w:t>
            </w:r>
            <w:r>
              <w:rPr>
                <w:rFonts w:hint="eastAsia" w:ascii="宋体" w:hAnsi="宋体" w:eastAsia="宋体" w:cs="宋体"/>
                <w:i w:val="0"/>
                <w:iCs w:val="0"/>
                <w:color w:val="000000"/>
                <w:sz w:val="21"/>
                <w:szCs w:val="21"/>
                <w:u w:val="none"/>
                <w:lang w:val="en-US" w:eastAsia="zh-CN" w:bidi="ar"/>
              </w:rPr>
              <w:t xml:space="preserve">看清肌外膜、肌束膜、肌纤维及其胞核和小血管等。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标本取材于哺乳动物的隔肌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纵横切片的厚度均在8μm</w:t>
            </w:r>
            <w:r>
              <w:rPr>
                <w:rFonts w:hint="eastAsia" w:ascii="宋体" w:hAnsi="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t xml:space="preserve">每张玻片放纵、横切各一片。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明暗带及胞核等应着色清晰,对比协调。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纵切材料的肌纤维应伸直,成纵断面的肌纤维不得</w:t>
            </w:r>
            <w:r>
              <w:rPr>
                <w:rFonts w:hint="eastAsia" w:ascii="宋体" w:hAnsi="宋体" w:cs="宋体"/>
                <w:i w:val="0"/>
                <w:iCs w:val="0"/>
                <w:color w:val="000000"/>
                <w:sz w:val="21"/>
                <w:szCs w:val="21"/>
                <w:u w:val="none"/>
                <w:lang w:val="en-US" w:eastAsia="zh-CN" w:bidi="ar"/>
              </w:rPr>
              <w:t xml:space="preserve">小于</w:t>
            </w:r>
            <w:r>
              <w:rPr>
                <w:rFonts w:hint="eastAsia" w:ascii="宋体" w:hAnsi="宋体" w:eastAsia="宋体" w:cs="宋体"/>
                <w:i w:val="0"/>
                <w:iCs w:val="0"/>
                <w:color w:val="000000"/>
                <w:sz w:val="21"/>
                <w:szCs w:val="21"/>
                <w:u w:val="none"/>
                <w:lang w:val="en-US" w:eastAsia="zh-CN" w:bidi="ar"/>
              </w:rPr>
              <w:t xml:space="preserve">90%,肌膜无裂隙; 横切材料肌纤维囊应不收缩、无裂隙;纵横切材料的肌</w:t>
            </w:r>
            <w:r>
              <w:rPr>
                <w:rFonts w:hint="eastAsia" w:ascii="宋体" w:hAnsi="宋体" w:cs="宋体"/>
                <w:i w:val="0"/>
                <w:iCs w:val="0"/>
                <w:color w:val="000000"/>
                <w:sz w:val="21"/>
                <w:szCs w:val="21"/>
                <w:u w:val="none"/>
                <w:lang w:val="en-US" w:eastAsia="zh-CN" w:bidi="ar"/>
              </w:rPr>
              <w:t xml:space="preserve">膜</w:t>
            </w:r>
            <w:r>
              <w:rPr>
                <w:rFonts w:hint="eastAsia" w:ascii="宋体" w:hAnsi="宋体" w:eastAsia="宋体" w:cs="宋体"/>
                <w:i w:val="0"/>
                <w:iCs w:val="0"/>
                <w:color w:val="000000"/>
                <w:sz w:val="21"/>
                <w:szCs w:val="21"/>
                <w:u w:val="none"/>
                <w:lang w:val="en-US" w:eastAsia="zh-CN" w:bidi="ar"/>
              </w:rPr>
              <w:t xml:space="preserve">,肌外膜均应完整无皱褶。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产品应符合JY96－82《骨骼肌纵横切片》的要求。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标本在80x和200x学生显微镜下观察心肌的结构。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在心肌的断面上能看清柱状并具有分枝的肌纤维（肌细胞），胞核呈圆形或椭圆形，位于肌纤维的中央。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在肌纤维彼此衔接的地方能看清心肌的特有结构—“闰盘”。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在肌纤维的横断面上能看清肌原纤维和圆形核的横断面结构。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在400x镜下能看清肌原纤维上有纤细的横纹。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标本取材于哺乳动物的心脏。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切片厚度在8μm以内，材料面积不小于4x4mm。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用能显示闰盘和横纹的方法染色！要求闰盘、胞核着色明显，横纹清晰，胞质不着色或色淡。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呈纵断面的肌纤维应不少于材料面积的2／5。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应保持细胞结构正常。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产品应符合JY98－82《心肌切片》的要求。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标本在80x和200x学生显微镜下观察运动神经原的形态。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能看清运动神经原的细胞体和突起、细胞体内的胞核、少量的神经纤维和神经胶质细胞的胞核。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不要求显示尼氏体。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标本取材于脊髓灰质前角中的运动神经原，作涂片或分离装片。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用能显示细胞结构和不易褪色的方法染色。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神经原应分布均轧形态正执无破碎现象。在80x镜下盖玻片中间部分的任一视野内应不少于五个运动神经原。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产品应符合JY99－82《运动神经元装片》的要求。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标本在400×生物显微镜下观察动脉及静脉的结构。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动脉能看清内膜的内皮和内弹性膜、中膜的肌纤维、外膜的外弹性膜。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静脉能看清内膜的内皮和富于纤维的外膜，中膜不明显。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在动静脉外围的结缔组织中，有时可见小血管、神经、淋巴管和淋巴结等断面结构。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标本取材于哺乳动物的腹主动脉和下腔静脉。取材时不应过多的保留血管外围的其它组织。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标本应轮廓完整，不应切穿分枝处，厚度在9μm以内。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标本用苏木精、曙红双重染色。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内皮应90%以上完整，无皱褶、刀痕和破裂等现象。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动静脉外围所附带的其它组织，不得影响对主要结构的观察。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产品应符合JY237－87《动静脉血管横切》的要求。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标本在400×生物显微镜下观察小肠壁的结构。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能看清粘膜，包括绒毛、粘膜肌层和肠腺，粘膜下层、肌层和浆膜等。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绒毛表面为单层柱状上皮，其间杂有杯状细胞。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在粘膜至粘膜下层间，有时可见淋巴小结的切面。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肌层为内环、外纵，标本上环行肌呈纵断面，纵行肌呈横断面。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标本取材于哺乳动物的空肠或回肠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作完整的小肠横断切片或小肠的部分横切片（长度不小于5mm），厚度在8μm以内，绒毛较直，切穿绒毛基部呈纵断形态者不少于三条。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绒外不应附着粘液，上皮细胞不应有自溶现象，其它组织无炎症或病变。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染色对比协调，着色均匀，粘膜肌层与粘膜下层不脱离，肌层无破裂。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产品应符合JY238－87《小肠切片》的要求。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标本在80×学生显微镜下能观察整体字母“e”。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使学生了解掌握显微镜成像与标本实体反方向的性能。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标本字母“e”字迹清晰，无污物。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字母应不能脱落，放置不能歪斜。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标本在80×学生显微镜下能观察整体字母“e”。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使学生了解掌握显微镜成像与标本实体反方向的性能。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标本字母“e”字迹清晰，无污物。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字母应不能脱落，放置不能歪斜。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#1、玉米穗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#1、φ12mm×70mm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#1、产品为90mm的直形滴管，上部套有吸液用的橡皮头。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U形管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#1、符合GB/T12414-1995《药用玻璃管》的标准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#1、茶，30mL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#1、本品由木料或竹子制作，由长臂和短臂及弹簧组成。试管夹所附毡块应粘接牢固，不得脱落。试管夹弹簧应有足够弹性，并作防锈处理。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标本在80x和200x学生显微镜下观察单层扁平上皮的结构。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能看清由一些边缘不规则而呈锯齿状的扁平细胞组成的单层上皮，胞核在细胞中央，呈扁圆形。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w:t>
            </w:r>
            <w:r>
              <w:rPr>
                <w:rFonts w:hint="eastAsia" w:ascii="宋体" w:hAnsi="宋体" w:cs="宋体"/>
                <w:i w:val="0"/>
                <w:iCs w:val="0"/>
                <w:color w:val="000000"/>
                <w:sz w:val="21"/>
                <w:szCs w:val="21"/>
                <w:u w:val="none"/>
                <w:lang w:val="en-US" w:eastAsia="zh-CN" w:bidi="ar"/>
              </w:rPr>
              <w:t xml:space="preserve">取材</w:t>
            </w:r>
            <w:r>
              <w:rPr>
                <w:rFonts w:hint="eastAsia" w:ascii="宋体" w:hAnsi="宋体" w:eastAsia="宋体" w:cs="宋体"/>
                <w:i w:val="0"/>
                <w:iCs w:val="0"/>
                <w:color w:val="000000"/>
                <w:sz w:val="21"/>
                <w:szCs w:val="21"/>
                <w:u w:val="none"/>
                <w:lang w:val="en-US" w:eastAsia="zh-CN" w:bidi="ar"/>
              </w:rPr>
              <w:t xml:space="preserve">于动物的肠系膜等。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平铺袋片，材料面积不小于2X2mm，四周剪切整齐。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标本为硝酸银法处理，要求细胞界限清晰，胞核隐约可见，并允许有两层细胞。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标本上不应有硝酸银的沉淀物。细胞界限也不应有断续现象。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产品应符合JY89－82《单层扁平上皮装片》的要求。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水止皮管夹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#1、本品供生物实验夹持乳胶管用。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#1、供生物实验实验用。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#2、本品用于化学实验时隔热。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#3、石棉膏表面平整、牢固、均匀，无划痕，无粉尘脱落。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#1、供生物实验实验用。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#2、本产品每组由大、中、小三把药匙组成。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#3、药匙材质：塑料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#4、产品制作应光滑、平整、无</w:t>
            </w:r>
            <w:r>
              <w:rPr>
                <w:rFonts w:hint="eastAsia" w:ascii="宋体" w:hAnsi="宋体" w:cs="宋体"/>
                <w:i w:val="0"/>
                <w:iCs w:val="0"/>
                <w:color w:val="000000"/>
                <w:sz w:val="21"/>
                <w:szCs w:val="21"/>
                <w:u w:val="none"/>
                <w:lang w:val="en-US" w:eastAsia="zh-CN" w:bidi="ar"/>
              </w:rPr>
              <w:t xml:space="preserve">毛刺</w:t>
            </w:r>
            <w:r>
              <w:rPr>
                <w:rFonts w:hint="eastAsia" w:ascii="宋体" w:hAnsi="宋体" w:eastAsia="宋体" w:cs="宋体"/>
                <w:i w:val="0"/>
                <w:iCs w:val="0"/>
                <w:color w:val="000000"/>
                <w:sz w:val="21"/>
                <w:szCs w:val="21"/>
                <w:u w:val="none"/>
                <w:lang w:val="en-US" w:eastAsia="zh-CN" w:bidi="ar"/>
              </w:rPr>
              <w:t xml:space="preserve">、无缺陷。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#1、φ5mm～φ6mm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#1、φ3mm～φ4mm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#1、供中学生物实验用。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#2、型号规格：000号、00号、0号、1号等型号。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#3、本胶塞由天然橡胶、合成橡胶和多种辅料混炼硫化而成。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#4、适用酸碱度</w:t>
            </w:r>
            <w:r>
              <w:rPr>
                <w:rFonts w:hint="eastAsia" w:ascii="宋体" w:hAnsi="宋体" w:cs="宋体"/>
                <w:i w:val="0"/>
                <w:iCs w:val="0"/>
                <w:color w:val="000000"/>
                <w:sz w:val="21"/>
                <w:szCs w:val="21"/>
                <w:u w:val="none"/>
                <w:lang w:val="en-US" w:eastAsia="zh-CN" w:bidi="ar"/>
              </w:rPr>
              <w:t xml:space="preserve">PH</w:t>
            </w: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#5、胶塞表面光洁、白色微黄、无明显缺陷。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#1、产品用优质乳胶制造。要求无砂眼，有弹性，厚薄均匀。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#2、产品应符合国标GB1189-81《胶管外观质量》的规定。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棉纱缸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#1、由不锈钢制成，作防锈处理。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#2、缸体应光滑、平整、无缺陷。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记数载玻片(计数板)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#1、质量符合JY0001－2003《教学仪器一般质量要求》、JY0002－2003《教学仪器产品的检验规则》的要求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碘化钠</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硫酸铜（蓝矾、胆矾）</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氢氧化钙(熟石灰)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柠檬酸钠</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琼脂</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蔗糖</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可溶性淀粉</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工业酒精</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医用酒精</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酚酞</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pH广范围试纸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甲基绿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亚甲基蓝</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尿糖试纸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#1、优质原材料，抗VC干扰，平整切割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#1、试纸</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乙酸(醋酸)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硼酸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氢氧化钠</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甲醛</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生物实验材料</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#1、双面刀片、消毒棉签、牙签、纱布、脱脂棉、镜头纸、吸水纸、凡士林、透明胶带、干酵母粉、坐标纸、碘酒、洋红、大豆、玉米、培养皿等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#1、玻璃制。通过计量认证。0.1mm 1/400mm²。产品执行JB/T8230.3《载玻片》的标准。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#1、玻璃制。通过计量认证。0.1mm 1/400mm²。产品执行JB/T8230.3《载玻片》的标准。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标记笔</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#1、规格不小于14.5cm,笔尖粗细：5mm×2mm,笔头式样：斜头,执行标准：QB/T 2625-2003标准。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生理盐水</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#1、规格:医用，250ml /瓶，0.9%氯化钠溶液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砾石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珍珠岩</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ABO血型实验盒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本套模型由血型演示板4个，基因演示板18块组成。2、用于讲授人的血型是由基因决定的。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组织培养基试剂盒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#1、由琼脂、干酵母粉、生长素、培养皿、复合维生素、食盐、蔗糖、葡萄糖、氢氧化钠、等组成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昆虫针</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#1、由优质不锈钢丝制成。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盒体、盒盖、凸透镜组成。盒体用透明塑料一次性注塑而成，底部有方格。盒体喇叭状。放大倍数3X。所配塑件表面平整、光滑、无气泡。配合适当、提取方便。镜片表面无气泡、烧粉、透明度好，放大倍数误差率为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饲养笼</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#1.小学科学课分组饲养小动物用。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#1．大号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#1．小号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花盆</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#1．常规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展翅板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翅板的两板面用木材制成，木材应经过脱脂干燥处理，表面平滑、无节疤、无裂纹、无毛刺。并涂清漆，漆面光亮。两板呈“V”形，一块固定，一块可滑动。滑动板滑动应灵活无阻滞，在任一位置可用蝶形螺母固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昆虫网(捕虫网)</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#1．网周围用直径φ4~5的镀锌铁丝制成直径φ200mm的圈。长不小于30cm，不得脱线和洞眼。</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枝剪</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#1．刀体长200mm呈“V”形，刀口弧形，靠柄端加反向加强筋。剪刀应采用优质钢制成。刀柄后端有合口皮扣。</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水网</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#1．网周围用直径φ4~5的镀锌铁丝制成直径φ200mm的圈。网袋用尼龙网制成，长不小于30cm.不得脱线和洞眼。</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橡皮锤</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#1．长18cm,类型:圆头锤 ,垂头材质:橡胶, 柄部材料:铁制,膝跳反射用。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眼球解剖模型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产品为放大六倍的成人眼球模型，装置于支架上。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通过眼球前后极做正中水平切面，示眼球壁三层被膜，眼球内晶状体、玻璃体和虹膜（均可拆下）。由外向内三层被膜部分做成梯形切面，并示全部结构。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眼球壁外部显示：眼球、角膜、巩膜、虹膜、瞳孔、六块眼肌的断端、视神经、涡静脉、睫状后长动脉（虹膜动脉）、睫状后短动脉（脉络膜动脉）。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眼球壁剖面及内部主要显示：外膜（前部1/6的角膜及后部5/6的巩膜）、中膜（虹膜、睫状体和脉络膜）、内膜（视网膜及其后部的视神经盘、黄斑及视网膜血管、晶状体及玻璃体）。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各部的肌肉、膜壁、血管、神经等的形态、位置、比例和颜色等均应正确自然。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模型采用硬塑或混合树脂制作，不得采用软塑料。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符合JY164—84《眼球解剖放大模型技术条件》的规定。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#1、白色全棉。 型号：适合170cm身高人员使用。达到GB12012-89国家标准。符合GB 21746－2008《教学仪器设备安全要求总则》教学仪器设备安全的国家强制性标准的要求。                                                                                                  </w:t>
            </w: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具有遮挡、过滤各类强光及射线辐射的功能，并具有较好的耐腐蚀性能。眼镜四周有防护罩。侧面能够完全遮挡。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#1.产品为外覆PVC材料，内为棉质材料制成。表面应具有较好的耐酸、耐碱及其他化学试剂腐蚀的性能。柔韧性好，穿戴后便于进行各类实验操作。长度为25cm左右。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AF2-131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急救包</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急救包内应配备的药品及器材：绿药膏1瓶；烧伤药膏1瓶；苏打粉100g；硼酸100g；创可贴10条；紫药水50ml；红药水50ml；碘酒50ml；3％双氧水100ml；胶布1卷；绷带1卷；药棉1包；手术剪1把；镊子1把；一次性注射器1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37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185"/>
        <w:gridCol w:w="6765"/>
        <w:gridCol w:w="720"/>
        <w:gridCol w:w="735"/>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7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AG-初中物理仪器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教师演示仪器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光的反射实验仪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#1.由钣金主体、入射光调节装置、刻度盘（入射角和反射角测量装置）、转臂、底座、水雾发生器、双色激光光源、反光镜片、烧杯、围挡等组成；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#2.钣金主体尺寸规格：430*345*102mm（±5mm）；材质工艺：优质Q235A材料，精密剪板折弯工艺；表面处理工艺：黑色烤漆，哑光处理；功能描述：为整个演示器提供牢固稳定的底座，和安装平台。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#3.刻度盘，尺寸规格：340*200*5mm（±5mm）；材质工艺：橘黄色亚克力，雕刻机一体成型；表面处理工艺：双色精密丝印；功能描述：为入射角，反射角和法线提供角度标准，直接测量入射角和反射角。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#1.由光具盘主体（含圆形光盘）、五线激光源、光学零件（梯形玻砖、等腰直角棱镜、半圆柱透镜、小双凹柱透镜、小双凸柱透镜、大双凸柱透镜、平面镜、凹凸柱面镜、正三棱镜）组成。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#2.光具盘主体：外形尺寸772*470（±5mm）；上下为铝型材结构，具有良好的抗</w:t>
            </w:r>
            <w:r>
              <w:rPr>
                <w:rFonts w:hint="eastAsia" w:ascii="宋体" w:hAnsi="宋体" w:eastAsia="宋体" w:cs="宋体"/>
                <w:i w:val="0"/>
                <w:iCs w:val="0"/>
                <w:color w:val="000000"/>
                <w:sz w:val="21"/>
                <w:szCs w:val="21"/>
                <w:u w:val="none"/>
                <w:lang w:val="en-US" w:eastAsia="zh-CN" w:bidi="ar"/>
              </w:rPr>
              <w:t xml:space="preserve">拉强度，表面黑色氧化细喷砂处理。左右为ABS塑料精密注塑成型边框；圆形光盘直径260mm，盘面分四个象限，以一条直径为始边，分别刻有 0°～90°刻度。功能描述：整体为磁吸附式结构，光学零件及五线激光光源可以吸附在矩形光盘上进行光学实验演示。五线激光源：规格：尺寸133*89*30mm，工作电压DC3V；主要材质：ABS工程塑料、铜；工艺：塑料注塑成型；功能描述：激光光学光源，磁吸式，内置电池可充电，提供1～5线平行光源（中间绿色光源），配合光学零件可直接或光具盘主体或其他磁性材料上完成多种光路的演示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光学零件：产品组成：梯形玻砖、等腰直角棱镜、半圆柱透镜、小双凹柱透镜、小双凸柱透镜、大双凸柱透镜、平面镜、凹凸柱面镜、正三棱镜。规格：统一厚度20mm；主要材质：PMMA；工艺：精加工、抛光；功能描述：磁吸式，配合激光光源可直接或吸附在光具盘主体或其他磁性材料上进行光线折射等相应光学实验。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#4.能够完成光的直线传播；光的反射；凸透镜的会聚作用；凹透镜的发散作用；凹面镜的会聚作用；凸面镜的发散作用；光的折射定律；测量玻璃砖的折射率；光的全反射等教学演示。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0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#1.由眼球仪主体（含眼球剖面图）、五线激光光源、光学零件（正常眼球玻璃、远视眼球玻璃、近视眼球玻璃、近视镜玻璃、远视镜玻璃）组成。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#2.眼球仪主体：外形尺寸772*470（±5mm）</w:t>
            </w:r>
            <w:r>
              <w:rPr>
                <w:rFonts w:hint="eastAsia" w:ascii="宋体" w:hAnsi="宋体" w:eastAsia="宋体" w:cs="宋体"/>
                <w:i w:val="0"/>
                <w:iCs w:val="0"/>
                <w:color w:val="000000"/>
                <w:sz w:val="21"/>
                <w:szCs w:val="21"/>
                <w:u w:val="none"/>
                <w:lang w:val="en-US" w:eastAsia="zh-CN" w:bidi="ar"/>
              </w:rPr>
              <w:t xml:space="preserve">；上下为铝型材结构，6063-T5材料,具有良好的抗拉强度，表面黑色氧化细喷砂处理。左右为ABS塑料精密注塑成型边框；功能描述：整体为磁吸附式结构，配有眼球剖面图，光学零件及五线激光光源可以吸附在矩形光盘上演示眼睛的工作原理及视力矫正实验。五线激光光源：规格：尺寸133*89*30mm，工作电压DC3V；主要材质：ABS工程塑料、铜；工艺：塑料注塑成型；功能描述：激光光学光源，磁吸式，内置电池可充电，提供1～5线平行光源（中间绿色光源），配合光学零件可直接或眼球仪主体或其他磁性材料上完成多种光路的演示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光学零件：产品组成：正常眼球玻璃、远视眼球玻璃、近视眼球玻璃、近视镜玻璃、远视镜玻璃。规格：统一厚度20mm；主要材质：PMMA；工艺：精加工、抛光；功能描述：磁吸式，配合激光光源可直接或吸附在眼球仪主体或其他磁性材料上进行光线折射等相应光学实验。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#1.由演示板、红色激光光源、绿色激光光源、光学配件（凸凹面镜、半圆玻璃砖、双凸透镜、双凹透镜、梯形玻璃砖、等边三角形玻璃砖、直角等腰三角玻璃砖）、平面镜和漫反射镜、水箱圆盘等组成。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演示板：外形尺寸666*470mm（±5mm）；上下为铝型材结构，6063-T5材料,具有良好的抗拉强度，表面黑色氧化细喷砂处理,左右为ABS塑料精密注塑成型边框；表盘外径300mm，盘面分四个象限，以一条直径为始边，分别刻有 0°～90°刻度：功能描述：整体为磁吸附式结构，可吸附激光光源、水箱圆盘、光学配件等进行相应光学实验。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光学零件：产品组成：凸凹面镜、半圆玻璃砖、双凸透镜、双凹透镜、梯形玻璃砖、等边三角形玻璃砖、直角等腰三角玻璃砖。规格：统一厚度20mm；主要材质：PMMA；工艺：精加工、抛光；功能描述：磁吸式，配合激光光源可直接或吸附在本演示板或其他磁性材料上进行光线折射等相应光学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#4.水箱圆盘：规格：φ250mm*34mm（±5mm）；主要材质：PMMA；功能描述：磁吸式，可放入水等液体进行不同物质界面的折射实验。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6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#1.由底座、外壳、圆球、导电杆、绝缘子、箔片、中位卡、接线柱等组成。观察面采用透明材料，可直接观察到箔片的变化。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#2.检验物体是否带电；检验物体带的电是正或负；检验物体的绝缘性；感应起电实验；配合其他仪器进行静电学相应实验等。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#1.由外壳、圆盘、导电杆、绝缘子、指针、指针架、接线柱等组成。观察面采用透明材料，可直接观察到指针的变化。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#2.能够完成的教学演示：检验物体是否带电；检验物体带的电是正或负；检验物体的绝缘性；配合其他仪器进行静电学相应实验等。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奥斯特实验演示器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#1.塑料底座、开关、通电杆、翼形磁针组件、接线柱等组成。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#2.塑料底座：尺寸规格：436*274*49mm（±5mm）；材质工艺：ABS塑料精密注塑成型；功能描述：为整个演示器提供牢固稳定的底座，内嵌垫片，使得底座具备防滑耐磨的特点。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#3.通电杆：尺寸规格：338*184*8mm（±5mm），材质工艺：高碳45#钢。表面处理：通体镀装饰铬；功能描述：作为电生磁的主要零件和载体，通电后周围产生磁场。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#1.由电磁线圈、铁芯、常开触点、常闭触点、弹簧、蜂鸣器、指示灯等组成。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666*470mm（±5mm）；上下为铝型材结构，6063-T5材料,具有良好的抗拉强度，表面黑色氧化细喷砂处理。左右为ABS塑料精密注塑成型边框；仪器面板表面印有原理电路图，导线采用暗线布置，内部接线与面板上的电路图一致，红绿色指示灯分别指示常开和常闭状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#1.由亚克力底座、螺线管、方形线圈、圆线圈等组成。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亚克力底座：尺寸规格：250*250*55mm（±5mm），厚度5mm，材质：透明亚克力，良好耐候性；功能描述：良好的载体功能，为螺线管、单匝线圈、方形线圈提供良好牢固的平台；表面配有双色丝印的使用说明，美观简洁，方便直接进行实验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#3.螺线管：尺寸规格：直径∅60mm，材质：透明PC材质，精密注塑成型；功能描述：为漆包线提供绕线载体。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#1.由塑料底座、U型磁场器、铜管支架、黄铜管、接线柱等组成。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#2.塑料底座：尺寸规格：265*170*40mm（±5mm）；材质工艺：ABS塑料精密注塑成型；功能描述：为整个演示器提供牢固稳定的底座，内嵌垫片，使得底座具备防滑耐磨的特点。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#3.U型磁场器：尺寸规格：100*55*65mm（±5mm）；材质工艺：Q235A金属材质，表面双色喷漆；功能描述：为安装磁铁提供平台，中部空间宽敞，便于铜管在其中自由滚动。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#1.由定子、转子、集流环、电刷、灯座（带灯泡）、手摇驱动机构、底板等部分组成。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#1.由定子、转子线圈、集流环和换向器、电刷、底座等组成。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#1.由保险丝（1A、2A、3A、5A）、实验导线、多芯导线、灯泡（10W）、灯泡（50W）、电流表、电压表等组成。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666*470mm（±5mm）；上下为铝型材结构，6063-T5材料,具有良好的抗拉强度，表面黑色氧化细喷砂处理。左右为ABS塑料精密注塑成型边框；仪器面板表面印有原理电路图，配有3路并联电路，实验导线和保险丝位置处可自由更换，进行保险丝作用等相关实验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演示电流表（磁吸）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#1.由外壳、表盘、调零旋钮、香蕉插头接线柱等组成。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#2.外形尺寸：339*298*64mm（±5mm）；材质工艺：ABS塑料精密注塑成型；量程：-0.2A～0.6 A/-1A～3 A 双量程，功能描述：2.5级；磁吸式，内嵌磁铁，可调零，可以吸附在黑板，进行演示操作。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演示电压表（磁吸）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#1.由外壳、表盘、调零旋钮、香蕉插头接线柱等组成。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#2.外形尺寸：339*298*64mm（±5mm）；材质工艺：ABS塑料精密注塑成型；量程：-1V～3V/-3V～15 V 双量程；功能描述：2.5级；磁吸式，内嵌磁铁，可调零，可以吸附在黑板，进行演示操作。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演示灵敏电流计（磁吸）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#1.由外壳、表盘、调零旋钮、香蕉插头接线柱等组成。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#2.外形尺寸：339*298*64mm（±5mm）；材质工艺：ABS塑料精密注塑成型；量程：-300μA～300μA；功能描述：2.5级；磁吸式，内嵌磁铁，可以吸附在黑板，进行演示操作。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#1.由外壳、表盘、调零旋钮、香蕉插头接线柱等组成。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#2.外形尺寸：339*298*64mm（±5mm）；材质工艺：ABS塑料精密注塑成型；功能描述：2.5 级；直流电流：0.5 A、2.5 A；直流电压：2.5 V、10 V，检流：－100 μA～100 μA；磁吸式，内嵌磁铁，可以吸附在黑板，进行演示操作。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17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数字演示电表（磁吸）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#1.由外壳、A/D转换集成电路、LED大屏幕、开关、档位按键、功能选择按键等组成。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#2.外形尺寸：339*298*64mm（±5mm）；材质工艺：ABS塑料精密注塑成型；显示方式：超高亮LED发光数码管显示；最大显示：4 1/2位；测量方式：微处理器控制双积分式A/D转换；功能描述：4-1/2 位，双面显</w:t>
            </w:r>
            <w:r>
              <w:rPr>
                <w:rFonts w:hint="eastAsia" w:ascii="宋体" w:hAnsi="宋体" w:eastAsia="宋体" w:cs="宋体"/>
                <w:i w:val="0"/>
                <w:iCs w:val="0"/>
                <w:color w:val="000000"/>
                <w:sz w:val="21"/>
                <w:szCs w:val="21"/>
                <w:u w:val="none"/>
                <w:lang w:val="en-US" w:eastAsia="zh-CN" w:bidi="ar"/>
              </w:rPr>
              <w:t xml:space="preserve">示，同一物理量能自动 转换量程；直流电流：200 μA、2 mA、 20 mA、200 mA、2 A、20 A，不确定度 0.2％；直流电压：2 V、20 V、200 V，不确定度 0.1％；电阻：200 Ω、2 kΩ、 20 kΩ、200 kΩ、2 MΩ、20 MΩ，不确定度 0.2％；交流电压：2 V、20 V、200V、700V，不确定度 0.5％；交流电流：2 mA、20 mA、200 mA、6A，不确定度 1.0％；2 A、20 A 自动过载保护，故障排除自动恢复；交流供电，采用 II 类变压器。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5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#1.由亚克力面板、金属导线、铜螺柱、接线柱、电阻定律演示器支架等组成。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亚克力面板：尺寸规格：1050*185*78mm（±5mm），厚度5mm；材质：黑色亚克力，良好耐候性；功能描述：良好的载体功能，为金属丝、铜螺柱以及接线柱提供良好的安装载体；表面刻度丝印，具有快速准确的测量长度的功能，同时具备较好的绝缘性，提高实验的准确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#3.金属导线：规格：D0.3mm、和D0.5mm；材质：镍铬丝，康铜丝；功能描述：提供倍数性变化的金属丝，配合不同的材料，采用控制变量的实验方法，确保实验的准确性。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#1.由透明贮液筒、底座、电阻、数显温度计等组成。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#2.外形尺寸666*470mm（±5mm）；上下为铝型材结构，6063-T5材料,具有良好的抗拉强度，表面黑色氧化细喷砂处理。左右为ABS塑料精密注塑成型边框；仪器面板表面印有原理电路图，配有</w:t>
            </w:r>
            <w:r>
              <w:rPr>
                <w:rFonts w:hint="eastAsia" w:ascii="宋体" w:hAnsi="宋体" w:cs="宋体"/>
                <w:i w:val="0"/>
                <w:iCs w:val="0"/>
                <w:color w:val="000000"/>
                <w:sz w:val="21"/>
                <w:szCs w:val="21"/>
                <w:u w:val="none"/>
                <w:lang w:val="en-US" w:eastAsia="zh-CN" w:bidi="ar"/>
              </w:rPr>
              <w:t xml:space="preserve">透明</w:t>
            </w:r>
            <w:r>
              <w:rPr>
                <w:rFonts w:hint="eastAsia" w:ascii="宋体" w:hAnsi="宋体" w:eastAsia="宋体" w:cs="宋体"/>
                <w:i w:val="0"/>
                <w:iCs w:val="0"/>
                <w:color w:val="000000"/>
                <w:sz w:val="21"/>
                <w:szCs w:val="21"/>
                <w:u w:val="none"/>
                <w:lang w:val="en-US" w:eastAsia="zh-CN" w:bidi="ar"/>
              </w:rPr>
              <w:t xml:space="preserve">贮液筒（带底座）3个，电阻4个，一次实验可直接完成以下焦耳定律相关演示。能够完成的教学演示：电流热效应；焦耳定律中热量与电阻的关系；焦耳定律中热量与电流的关系；焦耳定律中热量与通电时间的关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家庭电路示教板A款</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#1.由电能表（5A）、漏电保护器、闸刀开关、保险丝盒、插座、螺口灯座、螺口灯泡、卡口灯座、卡口灯泡、拉线开关、倒板开关、AC电源插座、电源线等组成。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#2.外形尺寸1072*470mm（±5mm）；上下为铝型材结构，6063-T6材料，具有良好的抗拉强度，表面黑色氧化细喷砂处理。左右为ABS塑料精密注塑成型边框。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#3.仪器面板表面印有原理电路图，电路图中包含家庭电路中的常</w:t>
            </w:r>
            <w:r>
              <w:rPr>
                <w:rFonts w:hint="eastAsia" w:ascii="宋体" w:hAnsi="宋体" w:cs="宋体"/>
                <w:i w:val="0"/>
                <w:iCs w:val="0"/>
                <w:color w:val="000000"/>
                <w:sz w:val="21"/>
                <w:szCs w:val="21"/>
                <w:u w:val="none"/>
                <w:lang w:val="en-US" w:eastAsia="zh-CN" w:bidi="ar"/>
              </w:rPr>
              <w:t xml:space="preserve">用</w:t>
            </w:r>
            <w:r>
              <w:rPr>
                <w:rFonts w:hint="eastAsia" w:ascii="宋体" w:hAnsi="宋体" w:eastAsia="宋体" w:cs="宋体"/>
                <w:i w:val="0"/>
                <w:iCs w:val="0"/>
                <w:color w:val="000000"/>
                <w:sz w:val="21"/>
                <w:szCs w:val="21"/>
                <w:u w:val="none"/>
                <w:lang w:val="en-US" w:eastAsia="zh-CN" w:bidi="ar"/>
              </w:rPr>
              <w:t xml:space="preserve">电器、常用开关、漏电保护、电能表等。导线采用暗线布置，内部接线与面板上的电路图一致。火线为红色，零线为蓝色，保护地线为黄绿双色。开关电极左面是零线，右面是火线。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#4.能够完成的教学演示：模拟家庭电路演示。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家庭电路示教板B款</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#1.由电能表（5A）、漏电保护器、声光开关、插座、螺口灯座、螺口灯泡、卡口灯座、卡口灯泡、拉线开关、倒板开关、AC电源插座、电源线等组成。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#2.外形尺寸1072*470mm（±5mm）；上下为铝型材结构，6063-T6材料，具有良好的抗拉强度，表面黑色氧化细喷砂处理。左右为ABS塑料精密注塑成型边框。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#3.仪器面板表面印有原理电路图，电路图中包含家庭电路中的常</w:t>
            </w:r>
            <w:r>
              <w:rPr>
                <w:rFonts w:hint="eastAsia" w:ascii="宋体" w:hAnsi="宋体" w:cs="宋体"/>
                <w:i w:val="0"/>
                <w:iCs w:val="0"/>
                <w:color w:val="000000"/>
                <w:sz w:val="21"/>
                <w:szCs w:val="21"/>
                <w:u w:val="none"/>
                <w:lang w:val="en-US" w:eastAsia="zh-CN" w:bidi="ar"/>
              </w:rPr>
              <w:t xml:space="preserve">用</w:t>
            </w:r>
            <w:r>
              <w:rPr>
                <w:rFonts w:hint="eastAsia" w:ascii="宋体" w:hAnsi="宋体" w:eastAsia="宋体" w:cs="宋体"/>
                <w:i w:val="0"/>
                <w:iCs w:val="0"/>
                <w:color w:val="000000"/>
                <w:sz w:val="21"/>
                <w:szCs w:val="21"/>
                <w:u w:val="none"/>
                <w:lang w:val="en-US" w:eastAsia="zh-CN" w:bidi="ar"/>
              </w:rPr>
              <w:t xml:space="preserve">电器、常用开关、声光开关、漏电保护器、电能表等。导线采用暗线布置，内部接线与面板上的电路图一致。火线为红色，零线为蓝色，保护地线为黄绿双色。开关电极应为左面是零线，右面是火线。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#4.能够完成的教学演示：模拟家庭电路演示（含声光控制灯泡演示）。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安全用电示教板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#1.由示教板、仿真人等组成。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#2.示教板：外形尺寸666*470mm（±5mm）；上下为铝型材结构，6063-T5材料,具有良好的抗拉强度，表面黑色氧化细喷砂处理。左右为ABS塑料精密注塑成型边框。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#3.仿真人：亚克力材质，自带24颗灯珠，可模拟触电时的电流路线。手脚可吸附在示教板上。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#4.能够完成的教学演示：12 V 供电，可用于模拟演示日常生活中常见的造成触电事故的现象：一手接触火线，经脚和大地触电；一手接触火线，不经脚和大地安全（脚下绝缘）；二手分别接触火线和零线触电（脚站在地面或绝缘）；一手接触漏电（连接火线）的设备（例如电动机），经脚和大地触电；跨步电压触电。</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移动式多功能电源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#1.产品规格：312×158×127mm（±2mm）。主要材质：增强型阻燃ABS工程塑料；工艺：塑料注塑成型。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#1.900mm×600mm，双面。钢制双面黑板，书写面为镀锌冷轧钢板制造，中间为人造板，并与金属板粘结牢固，边框采用铝制材料四周镶边。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#2.美观、精致、洁美、牢固。无镜面反光，色泽均匀，书写流畅。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#3.允许用绿白两用黑板代替。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#4.使用普通或无尘粉笔时，应手感流畅、充实，笔迹清晰，经反复</w:t>
            </w:r>
            <w:r>
              <w:rPr>
                <w:rFonts w:hint="eastAsia" w:ascii="宋体" w:hAnsi="宋体" w:cs="宋体"/>
                <w:i w:val="0"/>
                <w:iCs w:val="0"/>
                <w:color w:val="000000"/>
                <w:sz w:val="21"/>
                <w:szCs w:val="21"/>
                <w:u w:val="none"/>
                <w:lang w:val="en-US" w:eastAsia="zh-CN" w:bidi="ar"/>
              </w:rPr>
              <w:t xml:space="preserve">擦拭</w:t>
            </w:r>
            <w:r>
              <w:rPr>
                <w:rFonts w:hint="eastAsia" w:ascii="宋体" w:hAnsi="宋体" w:eastAsia="宋体" w:cs="宋体"/>
                <w:i w:val="0"/>
                <w:iCs w:val="0"/>
                <w:color w:val="000000"/>
                <w:sz w:val="21"/>
                <w:szCs w:val="21"/>
                <w:u w:val="none"/>
                <w:lang w:val="en-US" w:eastAsia="zh-CN" w:bidi="ar"/>
              </w:rPr>
              <w:t xml:space="preserve">无明显遗留粉笔痕迹。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#5.黑板提手在长边边框中间安装牢靠，挂起或提拿时无明显歪斜。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直联泵</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单相，功率不小于370W，扬程不小于10m，流量每小时不小于1.5m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，出水口直径约25mm。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#1、2XZ－0.5型，单相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#2、仪器油箱隔层处理，排气口设置油气分离装置，无喷油，金属外壳，工作电压220V，50Hz；抽气速率1L/S，电机功率120W，极限压力10Pa，加油量200ml，适应环境：-5℃~40℃。采用优质钢材，防锈处理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持式。打气筒由筒体带打气接头、打气活塞、拉杆、手柄、塑料打气嘴、金属打气嘴等组成。筒体为塑料制，外径35mm，长210mm。拉杆为金属制，表面电镀处理，直径4.4mm。手柄为塑料制，长55mm，与拉杆连接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#1．产品由底盘、钟罩、电铃、气阀、垫圈等组成。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#2．底盘为塑料制成，要求表面平整，无气孔、砂眼，外径Φ≥180mm。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#3．钟罩为透明式，外径不小于150mm。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#4．抽气盘的密封性能：极限压强≤6000Pa，极限压强下保持15分钟，腔内压强变化不大于2K Pa。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#5．电铃电源：直流3～6V。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#6．电铃放置于抽气盘内应平稳，工作中无倒覆。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#1．规格：680mm×460mm×800mm。不锈钢材料制。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#2．仪器车应分为2层，层间距不小于300mm。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#3．车架用直径不小于Φ19mm、壁厚不小于1mm的不锈钢管制成，高不低于800mm。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#4．车架脚安装有不小于Φ50mm、厚15mm转动灵活的万向轮。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#5．车隔板为不薄于1mm的不锈钢制成，四周安装有约30mm高的挡板。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#6．整车安装好后应载重50Kg，应运行平稳，不得变形、摇晃、松动。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#1、主要由螺线管、整流器、电源按钮开关和外壳组成。对中学物理实验室配备的小磁针、磁针进行充磁或消磁。绝缘电阻≥20MΩ。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#1．SP-01（640X）。单目直筒，分离式粗微调，目镜：10X、16X，三孔转换器，物镜：4X、10X、40Xs，108mm×118mm塑料平台带切片压片，拨盘光栏，50平凹面反光镜，干燥剂。木箱（塑料手提箱）包装。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注射器外套应有足够透明度，能清晰地看到基准线；表面必须清洁无杂质，不得有气泡、疙瘩、沙粒等缺陷。橡胶活塞应无胶丝、胶屑、外来杂质、喷霜。标尺的分度容量线及计量数字印刷应完整，字迹清楚，线条清晰，粗细均匀。</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9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#1、外形尺寸：高300mm±5mm，直径100mm±2mm，壁厚≥2mm；口部圆正，底部平整，表面无凸凹平现象；标尺为透明不干胶标尺，毫米单位，黑色字体。材料为透明塑料注塑成型。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透明水槽(圆形或方形)</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#1、长方形水槽。外形尺寸：250mm×180mm×100mm；壁厚≥2mm，四角圆度≤R5mm；材料为透苯塑料注塑成型。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#1、物理实验室通用仪器，可组装成垂直、平行、吊挂、夹持、放置等多种实验支架。有大小A型座各1个，立杆两支（500mm，Φ12mm ； 700mm，Φ12mm各一支）平行夹1只，垂直夹2只，烧瓶夹1只，万向夹1只，台边夹1只，大铁环1个，圆托盘1个，吊钩4只，吊钩杆1个，绝缘杆1支。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#1、物理实验室通用仪器，可组装成垂直、平行、吊挂、夹持、放置等多种实验支架。有大小A型座各1个，立杆两支（500mm，Φ12mm ； 700mm，Φ12mm各一支）平行夹1只，垂直夹2只，烧瓶夹1只，万向夹1只，台边夹1只，大铁环1个，圆托盘1个，吊钩4只，吊钩杆1个，绝缘杆1支，滴定夹1个，漏斗架1个。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上面板、下面板、旋转轴、手轮等组成。升降范围不小于150mm，载重量不小于10kg。工作台面：上面板150mm×150mm，下底板180mm×180mm。上下面板均采用厚不小于1mm的冷轧板冲压成型，成型厚度约8mm，表面烤黑漆。</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金属表面均电镀处理。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旋转架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底座、支杆、旋转体构成，二件为一套。底座直径65mm，高20mm。支杆直径10mm，长75mm，顶尖为钢制，表面镀铬处理。旋转体外形尺寸：40mm×25mm×20mm，旋转体上有盛放磁铁和胶棒的凹槽。组装后的高度为105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#1、输入电压：交流220V 50Hz。输出电压：交流0—250V、连续可调。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#2、最大输出电流：8A。额定功率：2kVA。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#3、绝缘电阻：电源进线端和电压输出端与机壳绝缘电阻≥20MΩ。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#4、空载电源：应小于0.2A。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#5、电压试验：仪器电源进线端和电压输出与机壳间馈给试验电压，带保护接地端子为1.5kV，不带保护接地端子为3kV，漏电电流输出不小于5mA,试验电压保持1分钟，不出现飞狐击穿现象。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多功能充电器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#1、全金属外壳，表层喷漆，铝金属镶边，面板两边各有一对铝金属提拿把手。电源电压：AC220V 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#2、功率：50W。充电电流：充可调内阻电池100mA±5%。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#3、蓄电池规格：6V4Ah、6V10Ah、6V15Ah可选。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#4、定时时间：充可调内阻电池1-99小时。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#5、外形尺寸：350mm×240mm×180mm。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#6、可适用于1-28只可调内阻电池的同时自动恒流充电。</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#1、电子开关式。直接使用220V、50Hz市电、消耗功率不大于120W；输出端放电火花距离为100mm；火花条数在两条以上；可连续工作15分钟；箱内装有一对（两根）放电针杆。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#1、木材制作，表面平整。最小分度值：1cm。外形尺寸：1000mm×40mm×8mm，全尺刻度累计误差≤2mm，尺面平面度公差≤3mm，尺边直线度公差≤2mm，两面均涂白色漆，印黑色刻度线和红色数字。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#1、30m。布卷尺。外壳由ABS塑料制成，带摇手装置。具有抗冲击功能。采用全公制，纤维尺带不导电，不生锈，尺带黄色、</w:t>
            </w:r>
            <w:r>
              <w:rPr>
                <w:rFonts w:hint="eastAsia" w:ascii="宋体" w:hAnsi="宋体" w:cs="宋体"/>
                <w:i w:val="0"/>
                <w:iCs w:val="0"/>
                <w:color w:val="000000"/>
                <w:sz w:val="21"/>
                <w:szCs w:val="21"/>
                <w:u w:val="none"/>
                <w:lang w:val="en-US" w:eastAsia="zh-CN" w:bidi="ar"/>
              </w:rPr>
              <w:t xml:space="preserve">哑</w:t>
            </w:r>
            <w:r>
              <w:rPr>
                <w:rFonts w:hint="eastAsia" w:ascii="宋体" w:hAnsi="宋体" w:eastAsia="宋体" w:cs="宋体"/>
                <w:i w:val="0"/>
                <w:iCs w:val="0"/>
                <w:color w:val="000000"/>
                <w:sz w:val="21"/>
                <w:szCs w:val="21"/>
                <w:u w:val="none"/>
                <w:lang w:val="en-US" w:eastAsia="zh-CN" w:bidi="ar"/>
              </w:rPr>
              <w:t xml:space="preserve">光，尺带宽13mm。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#1、测量范围: 0～150mm，分辨率:0.02mm，碳钢材质，表面做防锈处理，塑料盒装。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外径千分尺(螺旋测微器)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#1、测量范围: 0mm～25mm，分辨率: 0.01mm。尺架材质：铁铸件，尺架表面处理：喷塑，量面材质：硬质合金。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物理天平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#1、杠杆式等臂双盘天平，有游码装置及水准器，砝码盒等。 最大载荷500g,标尺称量：0-1g，分度值20mg，不等臂偏差不大于60mg，全量变动性不大于20mg，横梁材料必须为铝合金制品，刀口、刀承材料为高碳钢或玛瑙，称盘直径不小于118mm，制动机构应保证横梁升降平稳。砝码盒为塑料制品，内装200g砝码2个、100g砝码1个、50g砝码1个、20g砝码2个、10g砝码1个、5g砝码1个、2g砝码2个、1g砝码1个及砝码镊一把，定位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#1.最大称量500g，分度值0.5 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#2.秤量允许误差为±0.5d(分度值)。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#3.砝码组合的总质量（包括标尺计量值）应不小于天平的最大秤量。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#4.冲压件表面应光洁平整，不应有毛刺、锋棱、裂纹。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#5.电镀件的镀层应色泽均匀，不应有露底和显见的麻点、水迹、擦伤等缺陷。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#1、玻璃制。水银，0℃～200℃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#1.温度测量教具，供中学教学演示实验用，可悬挂。面板规格：380mm×60mm×10mm；温度示值范围：-50℃～50℃和-50℉～120℉。示值允许误差:±1℃或±2℉；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双金属片温度计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制。由温度刻度、湿度刻度、透明罩、2指针组成。产品为圆形指针式温度计，外径130mm。温度指示范围：-30℃～50℃，测量误差不大于5%。湿度指示范围：0-100%。指针转动灵活，无卡滞现象，刻度清晰，字迹清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红外线快速体温检测仪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#1、产品采用红外传感器，非接触式，摄氏温度/华氏温度可选，具有自动关机省电功能，发烧报价功能。测量距离：3cm~5cm。测量范围：32~42.5℃（89.6~108.5℉）。显示分辨率：0.1℃。外形尺寸约149×77×43mm。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#1．由塑料材料镶嵌玻璃棒芯组成。采用摄氏（℃）和华氏（℉）塑料双刻度，面板标有：摄氏 -50℃～40℃，华氏-20℉～120℉；玻璃棒芯感温液，正面放大玻璃液读数。最小分度值：2℃；储藏条件：-30℃～60℃；外形尺寸：200mm×52mm×10mm。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#1.2.5N。由方形弹簧盒（带刻板）、弹簧、提环、挂钩、指针等组成。零点可调。盒体外形尺寸：150mm×35mm×18mm。最小刻度：0.05N。金属表面防锈处理。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#1、5N；外筒由透明塑料制成，外径21mm，长150mm；具有优良测量性能的耐疫劳弹簧、提环和塑料外筒等构成，全封闭结构。有N和g对应刻度，最小分度值为0.1N，最大分度值1N上标有数字。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#1、1N；外筒由透明塑料制成，外径21mm，长150mm；具有优良测量性能的耐疫劳弹簧、提环和塑料外筒等构成，全封闭结构。有N和g对应刻度，最小分度值为0.05N，最大分度值0.2N上标有数字。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#1、10N，圆盘指针式。产品由上滑杆、予力调正套、复零调节套、指针、示度盘、下予力调正套、下滑杆、后盖、联销轴、圆盘、垫板、支撑板等组成。表面直径约200mm，分度值1N。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#1、由弹簧、指针、刻度板、拉杆、悬挂装置、夹持柄等组成，刻度板为塑料制品，外形尺寸：310mm×85mm×8mm，中间槽孔尺寸：272mm×25mm，刻度值为 0N～2N，最小分度值为0.1N、最大分度值为0.5N。右左侧刻度线一致。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#1、测量范围：G：-100uA~0~+100uA；DCA：0~200uA、0~0.5A、0~2.5A压降95mV；DCV：0~2.5V、0~10V；电压灵敏度2KΩ/V；精度：2.5级；防外磁场Ⅳ级；阻尼时间：不大于6秒；外形尺寸：270mm×270mm×112mm。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磁表头。测量范围：直流电流：0～5～50～500mA,10A；直流电压：0～0.25～0.5～10～50～250～500～1000V，交流电压：0～10～50～250～500～1000V；直流电阻：X1～X10K；温度测试：-10～150℃，电容：0.01～100000μf；电感：20～1000H；音频电平：-10～+22db。表笔1套。外型规格：165×113×52mm。重量：0.6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投影电流表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#1、指示面板与水面平行，测量范围：（-0.2~0~0.6A）（-1~0~3A），测量精度：2.5级，阻尼时间：不大于4s，外形尺寸：100mm×120mm×35mm，指针长度：45mm，最小分度值为0.02A、0.1A，对外界磁场的防御等级为Ⅲ级。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投影电压表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#1、指示面板与水面平行，测量范围：（-1~0~3V）(-5~0~15V)，测量精度：2.5级，阻尼时间：不大于4s，外形尺寸：100mm×120mm×35mm，指针长度：45mm，最小分度值为0.5V、0.1V，对外界磁场的防御等级为Ⅲ级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投影检流计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#1、测量范围：±300μA，指示面板与水面平行，偏差5%，对外界磁场的防御等级为Ⅲ级，指针长度为45mm。透明外壳，尺寸：100mm×120mm×35mm。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#1、垂直系统频率响应：直流DC~5MHz≤3dB，交流10Hz~5MHz≤3dB；偏转因素：20mVp-p／格，误差±10%；输入电容：1M∥40PF；衰减倍率：1、10、100、1000，误差±10%；输入耐压：400V（DC+ACpk）；扫描系统扫描频率： 10Hz~100kHz，分</w:t>
            </w:r>
            <w:r>
              <w:rPr>
                <w:rFonts w:hint="eastAsia" w:ascii="宋体" w:hAnsi="宋体" w:cs="宋体"/>
                <w:i w:val="0"/>
                <w:iCs w:val="0"/>
                <w:color w:val="000000"/>
                <w:sz w:val="21"/>
                <w:szCs w:val="21"/>
                <w:u w:val="none"/>
                <w:lang w:val="en-US" w:eastAsia="zh-CN" w:bidi="ar"/>
              </w:rPr>
              <w:t xml:space="preserve">四档</w:t>
            </w:r>
            <w:r>
              <w:rPr>
                <w:rFonts w:hint="eastAsia" w:ascii="宋体" w:hAnsi="宋体" w:eastAsia="宋体" w:cs="宋体"/>
                <w:i w:val="0"/>
                <w:iCs w:val="0"/>
                <w:color w:val="000000"/>
                <w:sz w:val="21"/>
                <w:szCs w:val="21"/>
                <w:u w:val="none"/>
                <w:lang w:val="en-US" w:eastAsia="zh-CN" w:bidi="ar"/>
              </w:rPr>
              <w:t xml:space="preserve">；同步：内正、内负、外同步；水平系统频率响应：10Hz~500kHz≤3dB；偏转因素：100mVp-p／格；输入电容：1M∥60PF；波形：正弦波 50Hz；幅度：250mVp-p±10%；余辉：中；工作环境：温度0℃~+40℃；相对湿度：≤90%（40℃）。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大屏幕示波器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显示部件：35cm黑白电视显像管，显示面积27cm×21cm，静电聚焦，电磁</w:t>
            </w:r>
            <w:r>
              <w:rPr>
                <w:rFonts w:hint="eastAsia" w:ascii="宋体" w:hAnsi="宋体" w:cs="宋体"/>
                <w:i w:val="0"/>
                <w:iCs w:val="0"/>
                <w:color w:val="000000"/>
                <w:sz w:val="21"/>
                <w:szCs w:val="21"/>
                <w:u w:val="none"/>
                <w:lang w:val="en-US" w:eastAsia="zh-CN" w:bidi="ar"/>
              </w:rPr>
              <w:t xml:space="preserve">偏转型式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#2、输入灵敏度：Y轴不劣于80mV/cm； X轴不劣于40mV/cm。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#3、频率响应范围：Y轴2Hz~5KHz； X轴2Hz~1KHz。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#4、X轴锯齿波扫描频率：200Hz、500Hz二档。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#5、机内信号：1KHz正弦波形，空载不小于1V，由面板接线柱直接引出。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#7、消耗功率：不大于38W 。重量：8.5</w:t>
            </w:r>
            <w:r>
              <w:rPr>
                <w:rFonts w:hint="eastAsia" w:ascii="宋体" w:hAnsi="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#1、双指针式、全塑料外壳，带座可悬挂。可测温度及湿度。直径约128mm。温度可测 -30°C~50°C，湿度可测 10%RH~90%RH。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空盒气压计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#1、多膜盒。产品由上拖板、真空膜盒、连接拉杆、调节螺丝、中间轴、调整器、扇形齿轮、直齿轮、偏心螺钉、游丝、指针、刻度盘及打气球等组成。测量范围：80～106Kpa，分度值：0.1Kpa，测量误差：小于0.25 Kpa。外形尺寸：直径150mm，高80mm。全透明外壳。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塑料注塑成型的连通管各插接式底座两部分组成。连通管有粗直管一根、弯直管一根、三球管一根、细直管一根，它们上端开口不连通，下部连通的容器。产品外形尺寸：250mm×125mm×215mm。粗直管孔径为29mm、细直管孔径为9.7mm。底座为双边插接式，结构稳定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#1、产品主要由圆管、空心球、活塞、活塞杆、手柄组成。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#2、圆管选用金属无缝钢管，有效尺寸不小于直径28×180mm,一端应有连接空白球的螺纹，另一端有拧盖螺纹、螺纹连接部分应牢靠、表面防锈处理。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#3、空心球用不锈钢制作，直径不小于80mm.圆球上装有10个不同方向的喷嘴，喷嘴连接牢固、密封。圆球与圆管连接方便。无漏水现象。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#4、活塞选用耐油优质橡胶制作、规格尺寸与圆管内径密封配合，活塞安装在活塞杆上。活塞另一端安装塑料手柄。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#5、组装后的帕斯卡球应抽动自如，密封性良好。 钢材表面采用防锈处理加环保油漆涂层精制而成。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大水槽1个，用透明材料制成，表面0～300刻度，规格不小于Φ110×300（mm）,在大水槽的底部分隔一个小水槽，规格不小于Φ70×90（mm）。排气管1个在小水槽上方边缘的位置、进气口在小水槽的中心位置。附配重物5个，直径49mm、高17mm。附浮胶管1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盛液筒、浮筒、配重体、导引磁铁、铁丝条组成。盛液筒用无毒、透明塑料制成，高300mmn、内径108mm，筒壁应有刻度标志，盛液筒底面平稳。浮筒为圆柱形状、空心，外径96mm，内径60mm，高98mm。配重体为直径85mm的铁丝绕制，铁丝直径2mm，表面防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产品由透明球体、配重块、吸排气筒等组成。透明球体直径≥70mm。吸排气筒容量：0～20ml。透明塑胶管长度≥20cm.各处配合无漏气现象。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液体对器壁压强演示器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#1、流体力学仪器，演示液体对器壁压强的实验。由圆柱形透明玻璃圆管，胶膜以及橡胶绳组成，圆管侧面另与两个凸出玻璃圆管连通。直管直径约30mm，长200mm；侧管直径约17mm，长25mm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#1、基本结构：由大球Φ15cm、大气球 、 塑料网、50g×10 钩码1个、球针、杠杆尺、支架、底座等组成。底座尺寸不小于200mm×60mm×10mm。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马德堡半球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#1、铸铁制成半球（圆盘）的合口处边表面粗糙度最大允许值为3.2um，当半球（圆盘）的内外压强差为0.0677Mpa(500mmHg)，经30分钟后，其压强不低于0.064MPa（480mmHg），内外压差用准确度不低于1.5级真空表测量。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#2、半球（圆盘）外径不小于Φ105mm，</w:t>
            </w:r>
            <w:r>
              <w:rPr>
                <w:rFonts w:hint="eastAsia" w:ascii="宋体" w:hAnsi="宋体" w:cs="宋体"/>
                <w:i w:val="0"/>
                <w:iCs w:val="0"/>
                <w:color w:val="000000"/>
                <w:sz w:val="21"/>
                <w:szCs w:val="21"/>
                <w:u w:val="none"/>
                <w:lang w:val="en-US" w:eastAsia="zh-CN" w:bidi="ar"/>
              </w:rPr>
              <w:t xml:space="preserve">内径</w:t>
            </w:r>
            <w:r>
              <w:rPr>
                <w:rFonts w:hint="eastAsia" w:ascii="宋体" w:hAnsi="宋体" w:eastAsia="宋体" w:cs="宋体"/>
                <w:i w:val="0"/>
                <w:iCs w:val="0"/>
                <w:color w:val="000000"/>
                <w:sz w:val="21"/>
                <w:szCs w:val="21"/>
                <w:u w:val="none"/>
                <w:lang w:val="en-US" w:eastAsia="zh-CN" w:bidi="ar"/>
              </w:rPr>
              <w:t xml:space="preserve">不小于Φ75mm。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#3、半球（圆盘）为铸铁、拉环为铁件，须进行时效处理，消除内应力，防止变形。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#4、旋塞和抽气管咀由黄铜制成。外径Φ8mm，旋塞一端装有与通气孔方向一致的旋片，旋塞应松紧适宜、转动灵活。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#5、产品外表面喷漆、平整、光滑、无毛刺。两半球（圆盘）的合口处和旋塞应进行成组匝配。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大气压系列实验器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#1、由透明杯，橡胶套圈，胶塞，方格盖板，带嘴盖板，多孔球盖，小气球，弹簧夹和乳胶管等组成。透明杯：由聚苯之类的透明材料制成，高约96mm。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#2、橡胶套圈：可环套在杯口上，下抵杯的环肩，上部与盖板配合，实现对杯口的严紧密封。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#3、胶塞：可堵塞在杯底的气咀内，实现杯的密封。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#4、方格盖板：由聚苯之类的透明材料制成，Φ80mm，厚约3mm。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#5、带嘴盖板：由聚苯之类的透明材料制成，Φ80mm，厚约3mm。</w:t>
            </w:r>
            <w:r>
              <w:rPr>
                <w:rFonts w:hint="eastAsia" w:ascii="宋体" w:hAnsi="宋体" w:cs="宋体"/>
                <w:i w:val="0"/>
                <w:iCs w:val="0"/>
                <w:color w:val="000000"/>
                <w:sz w:val="21"/>
                <w:szCs w:val="21"/>
                <w:u w:val="none"/>
                <w:lang w:val="en-US" w:eastAsia="zh-CN" w:bidi="ar"/>
              </w:rPr>
              <w:t xml:space="preserve">多孔</w:t>
            </w:r>
            <w:r>
              <w:rPr>
                <w:rFonts w:hint="eastAsia" w:ascii="宋体" w:hAnsi="宋体" w:eastAsia="宋体" w:cs="宋体"/>
                <w:i w:val="0"/>
                <w:iCs w:val="0"/>
                <w:color w:val="000000"/>
                <w:sz w:val="21"/>
                <w:szCs w:val="21"/>
                <w:u w:val="none"/>
                <w:lang w:val="en-US" w:eastAsia="zh-CN" w:bidi="ar"/>
              </w:rPr>
              <w:t xml:space="preserve">盖板外径约65mm。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#1、由压强小桌、海绵块组成。压强小桌应采用ABS塑料注塑成型，表面光滑平整，桌面尺寸不小于130×80mm。小桌腿上粗下细，总长45mm。海绵块尺寸不小于130×70×30mm。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#1、由快慢流速管(1支)、 U形管(2个) 、滴管 (1支) 、 示教板、乳胶管、底座组成。示教板为铁制，表面烤白漆，规格：440mm×280mm。底座为铁制，表面烤黑漆，规格（长×宽×高）：440mm×120mm×18mm。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演示滑轮组的组成及规格如下：单滑轮2只。外径53mm。三并滑轮2组，外径53mm。三串滑轮2组，外径53、40、30mm。滑轮框架结构均为封闭式，采用ABS塑料制成。滑轮挂钩由金属制成，使用时将挂钩置于滑轮的挂钩孔位内即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滚摆摆体（摆轮和摆轴）、悬线、支柱、横梁和底座组成。摆轮Φ115mm。摆轴Φ8mm，长160mm，轴上两个穿线孔距离140mm，穿线孔径Φ1.5mm。支柱高350mm，横梁长240mm。摆轴对摆轮的垂直度公差为0.5mm。摆轴应粗细均匀。轴上二穿线孔对于摆轮的对称公差0.5mm。摆体重心偏移轴线公差为0.5mm。摆轴镀铬。底座应稳固，表面涂漆，支柱表面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底座、环形轨道、接球槽和高度调节器组成。底座塑料制成，长：300mm，宽：125mm。环形轨道采用宽20mm,厚9mm铝槽弯制而成，中心圆环的外径约140mm。接球槽为塑料制成，钢球Φ22mm。高度调节器为塑料制成，可在长轨上调节移动，长轨长约400mm,短轨长约120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#1、组合教具，全部教具组装于纸箱内。仪器由实验底板、大三角支板、紧固销、塑料吊杯、支撑杆、平直导轨、双向测力计等组成。完成初中物理力学“重力的方向和</w:t>
            </w:r>
            <w:r>
              <w:rPr>
                <w:rFonts w:hint="eastAsia" w:ascii="宋体" w:hAnsi="宋体" w:cs="宋体"/>
                <w:i w:val="0"/>
                <w:iCs w:val="0"/>
                <w:color w:val="000000"/>
                <w:sz w:val="21"/>
                <w:szCs w:val="21"/>
                <w:u w:val="none"/>
                <w:lang w:val="en-US" w:eastAsia="zh-CN" w:bidi="ar"/>
              </w:rPr>
              <w:t xml:space="preserve">重垂线</w:t>
            </w:r>
            <w:r>
              <w:rPr>
                <w:rFonts w:hint="eastAsia" w:ascii="宋体" w:hAnsi="宋体" w:eastAsia="宋体" w:cs="宋体"/>
                <w:i w:val="0"/>
                <w:iCs w:val="0"/>
                <w:color w:val="000000"/>
                <w:sz w:val="21"/>
                <w:szCs w:val="21"/>
                <w:u w:val="none"/>
                <w:lang w:val="en-US" w:eastAsia="zh-CN" w:bidi="ar"/>
              </w:rPr>
              <w:t xml:space="preserve">”、“用弹簧称测力”、“弹簧的伸长跟所受的拉力成正比”、“二力平衡的条件”、“物体的惯性”、“摩擦”、“杠杆的作用和平衡条件”、“轮轴的作用和平衡条件”、“定滑轮、动画轮和滑轮组的作用”、“功的原理”、“斜面”、“机械效率”、等不少于22个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飞机升力原理演示器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机翼模型、滑杆、底座、风扇等组成。机翼采用轻质材料制成，其形状仿飞机模形。风扇部分电源开关、调节器，外壳采用塑料，有良好的绝缘性，底座由优质胶合板制成。底座尺寸不小于520mm×150mm×12mm，电源：AC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手摇离心转台</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#1、产品由机座、主动轮（附摇手）和从动轮等组成。外形尺寸：478mm×238mm×113mm。机座材料为铸铁，平放、立放均平稳可靠。主动轮直径为240mm,从动轮直径为39mm。主动轮和从动轮转动灵活、平稳，转动时皮带</w:t>
            </w:r>
            <w:r>
              <w:rPr>
                <w:rFonts w:hint="eastAsia" w:ascii="宋体" w:hAnsi="宋体" w:cs="宋体"/>
                <w:i w:val="0"/>
                <w:iCs w:val="0"/>
                <w:color w:val="000000"/>
                <w:sz w:val="21"/>
                <w:szCs w:val="21"/>
                <w:u w:val="none"/>
                <w:lang w:val="en-US" w:eastAsia="zh-CN" w:bidi="ar"/>
              </w:rPr>
              <w:t xml:space="preserve">不会</w:t>
            </w:r>
            <w:r>
              <w:rPr>
                <w:rFonts w:hint="eastAsia" w:ascii="宋体" w:hAnsi="宋体" w:eastAsia="宋体" w:cs="宋体"/>
                <w:i w:val="0"/>
                <w:iCs w:val="0"/>
                <w:color w:val="000000"/>
                <w:sz w:val="21"/>
                <w:szCs w:val="21"/>
                <w:u w:val="none"/>
                <w:lang w:val="en-US" w:eastAsia="zh-CN" w:bidi="ar"/>
              </w:rPr>
              <w:t xml:space="preserve">脱落。各部件作防锈处理。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纵波演示器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学物理演示纵波的传播、反射等；仪器采用塑料支架悬挂弹簧形式，全长不小于100cm、Φ60mm螺旋弹簧自由悬挂在支架上，振源金属可上下调节，整套仪器包括机架1个（螺旋弹簧1支、振源2只）；连接杆15个；反光白布1块；可拆卸后装入40×35×15cm的纸箱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#1、演示器由演示板、信号发生器、放大</w:t>
            </w:r>
            <w:r>
              <w:rPr>
                <w:rFonts w:hint="eastAsia" w:ascii="宋体" w:hAnsi="宋体" w:cs="宋体"/>
                <w:i w:val="0"/>
                <w:iCs w:val="0"/>
                <w:color w:val="000000"/>
                <w:sz w:val="21"/>
                <w:szCs w:val="21"/>
                <w:u w:val="none"/>
                <w:lang w:val="en-US" w:eastAsia="zh-CN" w:bidi="ar"/>
              </w:rPr>
              <w:t xml:space="preserve">扬声器</w:t>
            </w:r>
            <w:r>
              <w:rPr>
                <w:rFonts w:hint="eastAsia" w:ascii="宋体" w:hAnsi="宋体" w:eastAsia="宋体" w:cs="宋体"/>
                <w:i w:val="0"/>
                <w:iCs w:val="0"/>
                <w:color w:val="000000"/>
                <w:sz w:val="21"/>
                <w:szCs w:val="21"/>
                <w:u w:val="none"/>
                <w:lang w:val="en-US" w:eastAsia="zh-CN" w:bidi="ar"/>
              </w:rPr>
              <w:t xml:space="preserve">、传声棒、</w:t>
            </w:r>
            <w:r>
              <w:rPr>
                <w:rFonts w:hint="eastAsia" w:ascii="宋体" w:hAnsi="宋体" w:cs="宋体"/>
                <w:i w:val="0"/>
                <w:iCs w:val="0"/>
                <w:color w:val="000000"/>
                <w:sz w:val="21"/>
                <w:szCs w:val="21"/>
                <w:u w:val="none"/>
                <w:lang w:val="en-US" w:eastAsia="zh-CN" w:bidi="ar"/>
              </w:rPr>
              <w:t xml:space="preserve">音量</w:t>
            </w:r>
            <w:r>
              <w:rPr>
                <w:rFonts w:hint="eastAsia" w:ascii="宋体" w:hAnsi="宋体" w:eastAsia="宋体" w:cs="宋体"/>
                <w:i w:val="0"/>
                <w:iCs w:val="0"/>
                <w:color w:val="000000"/>
                <w:sz w:val="21"/>
                <w:szCs w:val="21"/>
                <w:u w:val="none"/>
                <w:lang w:val="en-US" w:eastAsia="zh-CN" w:bidi="ar"/>
              </w:rPr>
              <w:t xml:space="preserve">调节器等组成。演示板采用塑料注塑成型，外形尺寸为355mm×255mm×22mm，外包脚尺寸为115mm×20mm×70mm。透明圆筒尺寸为直径45mm，长190mm，壁厚不小于3mm。</w:t>
            </w:r>
            <w:r>
              <w:rPr>
                <w:rFonts w:hint="eastAsia" w:ascii="宋体" w:hAnsi="宋体" w:cs="宋体"/>
                <w:i w:val="0"/>
                <w:iCs w:val="0"/>
                <w:color w:val="000000"/>
                <w:sz w:val="21"/>
                <w:szCs w:val="21"/>
                <w:u w:val="none"/>
                <w:lang w:val="en-US" w:eastAsia="zh-CN" w:bidi="ar"/>
              </w:rPr>
              <w:t xml:space="preserve">扬声器</w:t>
            </w:r>
            <w:r>
              <w:rPr>
                <w:rFonts w:hint="eastAsia" w:ascii="宋体" w:hAnsi="宋体" w:eastAsia="宋体" w:cs="宋体"/>
                <w:i w:val="0"/>
                <w:iCs w:val="0"/>
                <w:color w:val="000000"/>
                <w:sz w:val="21"/>
                <w:szCs w:val="21"/>
                <w:u w:val="none"/>
                <w:lang w:val="en-US" w:eastAsia="zh-CN" w:bidi="ar"/>
              </w:rPr>
              <w:t xml:space="preserve">可发出不小于50分贝。能演示空气传播、固体传播、液体传播及真空传播四种演示效果。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超声应用演示器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#1、超声应用演示器可进行超声波测距、报警、水位控制、倒车报警等控制实验的演示器。主要参数：电源电压：220V  50Hz，工作频率：40kHz，显示距离：0.2－2.5m，消耗功率：小于3W，外形尺寸：210mm×200mm×75mm，重量：0.5</w:t>
            </w:r>
            <w:r>
              <w:rPr>
                <w:rFonts w:hint="eastAsia" w:ascii="宋体" w:hAnsi="宋体" w:cs="宋体"/>
                <w:i w:val="0"/>
                <w:iCs w:val="0"/>
                <w:color w:val="000000"/>
                <w:sz w:val="21"/>
                <w:szCs w:val="21"/>
                <w:u w:val="none"/>
                <w:lang w:val="en-US" w:eastAsia="zh-CN" w:bidi="ar"/>
              </w:rPr>
              <w:t xml:space="preserve">kg</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声速测量仪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#1、由一台主机、两个专用传感器带支架底座、自行车铃及连接导线组成。声源频率：5kHz；传感器间距：3-4m；测量精度：5%；工作电压：DC9V。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#1、由两个中空镶铅圆柱体、刮削器组成。铅柱分为红、蓝各1，每支上有挂钩，外形尺寸不小于：Φ20mm，长50mm。刮削器外壳为塑料，塑料筒内置刀片。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演示原副线圈由演示原线圈、演示</w:t>
            </w:r>
            <w:r>
              <w:rPr>
                <w:rFonts w:hint="eastAsia" w:ascii="宋体" w:hAnsi="宋体" w:cs="宋体"/>
                <w:i w:val="0"/>
                <w:iCs w:val="0"/>
                <w:color w:val="000000"/>
                <w:sz w:val="21"/>
                <w:szCs w:val="21"/>
                <w:u w:val="none"/>
                <w:lang w:val="en-US" w:eastAsia="zh-CN" w:bidi="ar"/>
              </w:rPr>
              <w:t xml:space="preserve">副线圈</w:t>
            </w:r>
            <w:r>
              <w:rPr>
                <w:rFonts w:hint="eastAsia" w:ascii="宋体" w:hAnsi="宋体" w:eastAsia="宋体" w:cs="宋体"/>
                <w:i w:val="0"/>
                <w:iCs w:val="0"/>
                <w:color w:val="000000"/>
                <w:sz w:val="21"/>
                <w:szCs w:val="21"/>
                <w:u w:val="none"/>
                <w:lang w:val="en-US" w:eastAsia="zh-CN" w:bidi="ar"/>
              </w:rPr>
              <w:t xml:space="preserve">、铁芯三部分组成。原线圈：内径13±0.5mm，外径22±1mm，直径0.59漆包线平绕，绕线长度63mm。副线圈：内径35±1mm，外径49±1mm，直径0.27漆包线平绕，绕线长度67mm。铁芯：Φ 12mm；长度80mm。外形尺寸：66mm×66mm×110mm。线圈骨架用黑色塑料制成，表面光洁，</w:t>
            </w:r>
            <w:r>
              <w:rPr>
                <w:rFonts w:hint="eastAsia" w:ascii="宋体" w:hAnsi="宋体" w:cs="宋体"/>
                <w:i w:val="0"/>
                <w:iCs w:val="0"/>
                <w:color w:val="000000"/>
                <w:sz w:val="21"/>
                <w:szCs w:val="21"/>
                <w:u w:val="none"/>
                <w:lang w:val="en-US" w:eastAsia="zh-CN" w:bidi="ar"/>
              </w:rPr>
              <w:t xml:space="preserve">副线圈</w:t>
            </w:r>
            <w:r>
              <w:rPr>
                <w:rFonts w:hint="eastAsia" w:ascii="宋体" w:hAnsi="宋体" w:eastAsia="宋体" w:cs="宋体"/>
                <w:i w:val="0"/>
                <w:iCs w:val="0"/>
                <w:color w:val="000000"/>
                <w:sz w:val="21"/>
                <w:szCs w:val="21"/>
                <w:u w:val="none"/>
                <w:lang w:val="en-US" w:eastAsia="zh-CN" w:bidi="ar"/>
              </w:rPr>
              <w:t xml:space="preserve">底座平整，直立于平面时不应晃动。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蹄形电磁铁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#1、产品由U型铁芯、两个线圈和衔铁组成。铁芯直径11.5mm，两端中心距45mm，高110mm，带挂钩。线圈绕线长度44mm，有绕向标志。衔铁厚度2mm，带挂钩。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57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左右手定则演示器由塑料底座、两根金属电镀撑杆、塑料接线板、方形线圈组成。底座采用优质塑料，规格（179mm×120mm×14mm）。接线板尺寸：150mm×10mm×4mm，上有红黑接线柱。撑杆直径6mm，总长400mm，表面电镀。方形线圈内径62mm，宽10mm，带导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#1.电学仪器，供中学物理演示交直流发电机的结构和工作原理使用，可兼作小功率电源；结构：由定子、转子，电刷、转动机构、集流环（或换向器）、小灯座，底板等组成。底板采用</w:t>
            </w:r>
            <w:r>
              <w:rPr>
                <w:rFonts w:hint="eastAsia" w:ascii="宋体" w:hAnsi="宋体" w:cs="宋体"/>
                <w:i w:val="0"/>
                <w:iCs w:val="0"/>
                <w:color w:val="000000"/>
                <w:sz w:val="21"/>
                <w:szCs w:val="21"/>
                <w:u w:val="none"/>
                <w:lang w:val="en-US" w:eastAsia="zh-CN" w:bidi="ar"/>
              </w:rPr>
              <w:t xml:space="preserve">木质</w:t>
            </w:r>
            <w:r>
              <w:rPr>
                <w:rFonts w:hint="eastAsia" w:ascii="宋体" w:hAnsi="宋体" w:eastAsia="宋体" w:cs="宋体"/>
                <w:i w:val="0"/>
                <w:iCs w:val="0"/>
                <w:color w:val="000000"/>
                <w:sz w:val="21"/>
                <w:szCs w:val="21"/>
                <w:u w:val="none"/>
                <w:lang w:val="en-US" w:eastAsia="zh-CN" w:bidi="ar"/>
              </w:rPr>
              <w:t xml:space="preserve">，尺寸：290mm×200mm×15mm。空载电压不小于8V，负载电压不小于4V。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能的转化演示器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可进行机械能、电能、化学能、热能、光能、声能、风能的转化演示。产品由一块主示教板和五块小示教板组成。主示教板是一只直流永磁式电机、皮带传动机构、电路图、电池盒（1号两节）、输出接线柱构成，演示板尺寸不小于300mm×200mm。小示教板由风扇示教板、音乐（声能）示教板、热能光能示教板、磁能示教板、太阳能电池板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轴承模型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#1、模型为滚动轴承,仿滚动轴承全塑料制，可拆卸。轴承外径105mm，内孔51mm，厚23mm。外圈外圆中心剖，滚珠8个。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2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抽水机模型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吸取式抽水机模型由支架、缸筒、活塞、活塞环（密封圈）、连杆、进水阀、出水阀、进水管、出水嘴、缸盖、立柱、压杆、手柄和水槽组成。立柱、缸盖、压杆采用金属制成，表面防锈处理。缸筒、进水阀、出水阀、出水管用透明塑料制成，缸筒壁厚≥4mm，缸筒</w:t>
            </w:r>
            <w:r>
              <w:rPr>
                <w:rFonts w:hint="eastAsia" w:ascii="宋体" w:hAnsi="宋体" w:cs="宋体"/>
                <w:i w:val="0"/>
                <w:iCs w:val="0"/>
                <w:color w:val="000000"/>
                <w:sz w:val="21"/>
                <w:szCs w:val="21"/>
                <w:u w:val="none"/>
                <w:lang w:val="en-US" w:eastAsia="zh-CN" w:bidi="ar"/>
              </w:rPr>
              <w:t xml:space="preserve">外径</w:t>
            </w:r>
            <w:r>
              <w:rPr>
                <w:rFonts w:hint="eastAsia" w:ascii="宋体" w:hAnsi="宋体" w:eastAsia="宋体" w:cs="宋体"/>
                <w:i w:val="0"/>
                <w:iCs w:val="0"/>
                <w:color w:val="000000"/>
                <w:sz w:val="21"/>
                <w:szCs w:val="21"/>
                <w:u w:val="none"/>
                <w:lang w:val="en-US" w:eastAsia="zh-CN" w:bidi="ar"/>
              </w:rPr>
              <w:t xml:space="preserve">≥60mm。安装稳固，密封；结构原理直观，实验效果明显。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离心水泵模型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为齿轮式，由泵体、叶轮、机轴、吸水口、出水口、排水口、手轮、齿轮、手柄组成。扬水和吸水高度均不小于0.6米。泵体表面经防锈处理，泵体轴孔应密封不漏水。叶轮应该转动灵活，无跳动卡滞现象。泵轴转速可达900转/分，叶轮Φ100mm，扬程 1m。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液压机模型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大缸体、小缸体、角式截气阀、底座、压力表和压力弹簧等构成。大小活塞为透明材料，外径分别为57mm、22mm。底座为塑料注塑成型，外形尺寸：230mm*130mm*50mm，中心部位为油箱。压力表示值：最大值为2.5Mpa。整体高度：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水轮机模型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水槽、导水槽、套管、传动轴、传动轮、叶轮、橡皮塞、支脚等组成。水槽为透明塑料注塑成型，为台阶式，外径分别为：41mm、103mm、138mm，总高125mm。传动轮直径100mm。支脚塑料制，直径7.5mm，带弧形，长120mm。各部件比例适当，位置正确，连接牢固，工作稳定可靠。叶轮转动灵活，无跳动卡滞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汽油机模型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#1、产品由塑料制成，高度300mm。由进气管、进气阀、排气管、排气阀、气缸、活塞、连杆、曲轴、火花塞、齿轮组、主动轮、挺杆等组成，外壳剖开，能看清内部结构。模型各部件比例适当，位置正确，</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牢固，工作可靠，原理正确。模型能直观地演示出吸气过程、压缩过程、做功过程及排气过程，在做功冲程时活塞到达上止点时，演示火花点火的灯泡应发光，点火完成后灯熄灭。底座尺寸： 165mm×105mm×22mm。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制成，高度300mm。由进气管、进气阀、排气管、排气阀、气缸、活塞、连杆、曲轴、喷油嘴、油针、齿轮、凸轮总成、手柄齿轮、介轮、挺杆等组成，外壳剖开，能看清内部结构。各部件比例适当，位置正确，</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牢固，工作可靠，原理正确。模型能直观地演示出吸气过程、压缩过程、做功过程及排气过程，在做功冲程时，油针应开启。底座尺寸： 165mm×105mm×22mm。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磁分子模型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#1、外型长方体，全透明塑料盒，下底安插二十四枚小钢针，排列成四行，每行六枚，钢针安放二十四枚小磁针。外形尺寸：150mm×100mm×19mm。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#1.立式结构,即转子的转轴为竖直方向。产品由集流环、电刷、电刷架、接线柱、U型支架、电枢、摇手、转轴、指示灯、开关、磁铁、上盖板、电路板等组成。起动电压4V。U型支架为塑料制，外尺寸</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197mm×72mm×205mm。整体高度：280mm。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电话原理模型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#1、由示教板式、送话器、受话器及指示灯等组成。板面上印有电路及声波、振动波示意图，图形清晰醒目。工作额定电压：DC6～8V。板面尺寸：420mm×300mm。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物质的形态和变化</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#1、国家正式出版物，应符合新课标教学的要求，图面字迹清晰，图形、色调准确无误，铜版纸，印刷工艺精良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物质的属性</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#1、国家正式出版物，应符合新课标教学的要求，图面字迹清晰，图形、色调准确无误，铜版纸，印刷工艺精良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物质的结构与物体的尺度</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#1、不少于5张，每张幅面不小于540mm×780mm，纸张规格不低于100g铜版纸。印刷：彩色胶印。图形：逼真，色彩鲜明，线条清晰。印刷质量：符合GB7705－87《平面装潢印刷品标准》。适用教材：人教版或通用版。。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新材料及其应用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#1、不少于5张，每张幅面不小于540mm×780mm，纸张规格：不小于100g铜版纸。印刷：彩色胶印。图形：逼真，色彩鲜明，线条清晰。印刷质量：符合GB7705－87《平面装潢印刷品标准》。适用教材：人教版或通用版。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多种多样的运动形式</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机械运动和力</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#1、幅数15：纸张规格：不小于100g铜版纸。印刷：彩色胶印。图形：逼真，色彩鲜明，线条清晰。印刷质量：符合GB7705－87《平面装潢印刷品标准》。适用教材：人教版或通用版。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声和光</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#1、幅数9：纸张规格：不小于100g铜版纸。印刷：彩色胶印。图形：逼真，色彩鲜明，线条清晰。印刷质量：符合GB7705－87《平面装潢印刷品标准》。适用教材：人教版或通用版。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电和磁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#1、幅数14：纸张规格：不小于100克铜版纸。印刷：彩色胶印。图形：逼真，色彩鲜明，线条清晰。印刷质量：符合GB7705－87《平面装潢印刷品标准》。适用教材：人教版或通用版。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能量、能量的转化和转移</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机械能</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#1、幅数3：幅面:1000mm×700mm；纸张规格：不小于100g铜版纸。印刷：彩色胶印。图形：逼真，色彩鲜明，线条清晰。印刷质量：符合GB7705－87《平面装潢印刷品标准》。适用教材：人教版或通用版。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内能</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#1、幅数4：幅面:1000mm×700mm；纸张规格：不小于100g铜版纸。印刷：彩色胶印。图形：逼真，色彩鲜明，线条清晰。印刷质量：符合GB7705－87《平面装潢印刷品标准》。适用教材：人教版或通用版。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电磁能</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#1、幅数10：幅面:1000mm×700mm；纸张规格：不小于100g铜版纸。印刷：彩色胶印。图形：逼真，色彩鲜明，线条清晰。印刷质量：符合GB7705－87《平面装潢印刷品标准》。适用教材：人教版或通用版。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能量守恒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能源与可持续发展</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初中物理实验参考书</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彩色封面，胶印。目录内容包括：探究实验21种，即：光反射时的规律、平面镜成像、晶体融化、水的沸腾、串并电路中的电流和电压、变阻器改变灯泡亮度、电阻上的电流和电压、测量小灯泡、电磁铁、密度、刻度尺、测力计、摩擦力、杠杆、压力、浮力、斜面、吸热。还包括探究活动参考答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初中物理实验手册</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#1、彩色封面，胶印。目录内容包括：通用、测量、专用仪器、模型、药品、</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实验材料和工具。还包括初中物理实验题库、物理名词中英文对照表、物理教学仪器配备标准。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学生分组实验仪器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15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#1．由铁环和3只脚组成。铁环内径：73mm ，外径：90mm，厚度4mm。三只脚与铁环焊接紧固，脚距相等，立放台上时圆环应与台面平行，所支承的容器不得有滑动。脚高：155mm，直径6mm。三脚架须经烤漆防锈处理，漆层均匀、牢固。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#1、由3个空心瓷棒、3根铁线串接组成，呈三角形。瓷棒外径不小于6mm。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铸铁矩形底座、立杆、烧瓶夹、大小铁环、垂直夹（2只）、平行夹组成。底座重约0.98kg，尺寸：210×135mm；立杆直径约Φ12mm，一端有M10×18mm螺纹；烧杯夹为铁制，夹杆尺寸：Φ7*85mm；底座、烧杯夹和立杆表面作防锈处理。铁环材料直径约6mm，大环内径约98mm，柄长105mm；小环内径约58mm，柄长125mm。垂直和平行夹为铸铝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玻璃密封管体和手柄组成，管体和手柄彼此独立，不连通。管的高度≥45mm，直径≥30mm。管内密封碘的质量≥0.1克。手柄长≥70mm，直径为Φ6±1mm。管体外形端正，玻璃熔接平滑均匀，无气泡、无条纹。管体在90℃热水中检测无泄漏（无气泡溢出）。管体应耐80℃温差的急冷骤热。升华与凝华的全过程耗时应≤2分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#1．输出电压：1.5V－9V直流稳压输出，每1.5V一档共六档。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#2.额定电流：1.5A。空载电压偏调：±（1％U标＋0.1V）。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#3.电压稳定性：输入电压在198V－242V间变化，在满载时各档输出电压变化量不大于0.1V。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#4.负载稳定性：输入电压保持220V不变，负载电流在0至满载范围内变化，各档输出电压变化量不大于1％U标＋0.1V。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#5.纹波电压：电源电压保持220V，满载时各档纹波电压不大于3mv（有效值）。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#6.过载保护：当输出电流在额定输出电流值的1.05－1.5倍间自动关断输出。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#7.短路保护：当输出电路短路时，仪器自动关断电压输出。工作电压：220V 50Hz。机箱采用全塑料注塑成型，外形尺寸：190mm×160mm×95mm。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#1.输出电压：交流输出：2V－12V，每2V</w:t>
            </w:r>
            <w:r>
              <w:rPr>
                <w:rFonts w:hint="eastAsia" w:ascii="宋体" w:hAnsi="宋体" w:cs="宋体"/>
                <w:i w:val="0"/>
                <w:iCs w:val="0"/>
                <w:color w:val="000000"/>
                <w:sz w:val="21"/>
                <w:szCs w:val="21"/>
                <w:u w:val="none"/>
                <w:lang w:val="en-US" w:eastAsia="zh-CN" w:bidi="ar"/>
              </w:rPr>
              <w:t xml:space="preserve">一档</w:t>
            </w:r>
            <w:r>
              <w:rPr>
                <w:rFonts w:hint="eastAsia" w:ascii="宋体" w:hAnsi="宋体" w:eastAsia="宋体" w:cs="宋体"/>
                <w:i w:val="0"/>
                <w:iCs w:val="0"/>
                <w:color w:val="000000"/>
                <w:sz w:val="21"/>
                <w:szCs w:val="21"/>
                <w:u w:val="none"/>
                <w:lang w:val="en-US" w:eastAsia="zh-CN" w:bidi="ar"/>
              </w:rPr>
              <w:t xml:space="preserve">；共六档；额定输出电流：5A。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#2.直流稳压输出，1.5V－12V，分1.5V、3V、4.5V、6V、9V、12V六档；额定输出电流：2A。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#3.直流大电流短时输出：40A，8秒自动关断。交流输出：a.各档空载电压不大于1.05 U标＋0.3V； b.各档满载电压不小于0.95 U标－0.3V。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#4.直流稳压输出：a. 电压偏调：±（2％U标＋0.1V） b. 电压稳定性：输入电压在198V－242V件变化，在满载时各档</w:t>
            </w:r>
            <w:r>
              <w:rPr>
                <w:rFonts w:hint="eastAsia" w:ascii="宋体" w:hAnsi="宋体" w:eastAsia="宋体" w:cs="宋体"/>
                <w:i w:val="0"/>
                <w:iCs w:val="0"/>
                <w:color w:val="000000"/>
                <w:sz w:val="21"/>
                <w:szCs w:val="21"/>
                <w:u w:val="none"/>
                <w:lang w:val="en-US" w:eastAsia="zh-CN" w:bidi="ar"/>
              </w:rPr>
              <w:t xml:space="preserve">输出电压变化量不大于2％U标＋0.1V。 c. 负载稳定性：输入电压保持220V不变，负载电流在0至满载范围内变化，各档输出电压变化量不大于2％U标＋0.1V。 d. 纹波电压：电源电压保持220V，满载时各档纹波电压不大于0.1％U标（有效值）。直流大电流短时输出电流大于10A时，20s±2s自动关断。输出短时电流为40A+10A，8 s±2自动关断 。过载保护：交流和直流稳压输出电流在额定电流值的1.05－1.5倍时，自动关断输出。 机箱采用全塑料注塑成型，外形尺寸：250mm×200mm×115mm。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#1、4个电池盒为1组。仪器可放置1节1号电池。外形尺寸81×43×29mm。各触点使用不锈钢材料；要求接触良好，整体结构结实牢固，ABS塑料件光滑、无毛刺。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木材制作，表面平整、无毛刺。木材材质应无裂纹、无伤痕，并经过脱脂干燥处理。尺身一面黄底，印有黑色刻线和数字，最小刻度为1毫米，每5毫米为一中格，每10毫米的刻线上标有数字。漆层色调美观、厚薄均匀、有足够的附着力。刻线和数字排列整齐端正，刻线粗细一致。米尺的外形尺寸：1000mm×25mm×8mm。全尺刻度累计误差≤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#1、200mm,不锈钢制。最小分度值为1mm。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#1、2000mm，塑料外壳，有尺带锁紧装置。最小分度值为1mm。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热敏温度计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中学物理演示实验用。测量范围： -10～+100℃，线性刻度。由测温元件、单管直流放大器和机盒组成。工作电压：DC6V。注：应与演示用大型电表配套使用（灵敏度500uA-2mA）。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棒式，测量部位为口腔，测量范围35－42℃。体温计按国际实用温标刻度，</w:t>
            </w:r>
            <w:r>
              <w:rPr>
                <w:rFonts w:hint="eastAsia" w:ascii="宋体" w:hAnsi="宋体" w:cs="宋体"/>
                <w:i w:val="0"/>
                <w:iCs w:val="0"/>
                <w:color w:val="000000"/>
                <w:sz w:val="21"/>
                <w:szCs w:val="21"/>
                <w:u w:val="none"/>
                <w:lang w:val="en-US" w:eastAsia="zh-CN" w:bidi="ar"/>
              </w:rPr>
              <w:t xml:space="preserve">温度</w:t>
            </w:r>
            <w:r>
              <w:rPr>
                <w:rFonts w:hint="eastAsia" w:ascii="宋体" w:hAnsi="宋体" w:eastAsia="宋体" w:cs="宋体"/>
                <w:i w:val="0"/>
                <w:iCs w:val="0"/>
                <w:color w:val="000000"/>
                <w:sz w:val="21"/>
                <w:szCs w:val="21"/>
                <w:u w:val="none"/>
                <w:lang w:val="en-US" w:eastAsia="zh-CN" w:bidi="ar"/>
              </w:rPr>
              <w:t xml:space="preserve">最小分度值为0.1℃，分度均匀，两相邻分度中心的距离应不小于0.55mm。标度线、计量数字和标志颜色牢固，不允许</w:t>
            </w:r>
            <w:r>
              <w:rPr>
                <w:rFonts w:hint="eastAsia" w:ascii="宋体" w:hAnsi="宋体" w:cs="宋体"/>
                <w:i w:val="0"/>
                <w:iCs w:val="0"/>
                <w:color w:val="000000"/>
                <w:sz w:val="21"/>
                <w:szCs w:val="21"/>
                <w:u w:val="none"/>
                <w:lang w:val="en-US" w:eastAsia="zh-CN" w:bidi="ar"/>
              </w:rPr>
              <w:t xml:space="preserve">有</w:t>
            </w:r>
            <w:r>
              <w:rPr>
                <w:rFonts w:hint="eastAsia" w:ascii="宋体" w:hAnsi="宋体" w:eastAsia="宋体" w:cs="宋体"/>
                <w:i w:val="0"/>
                <w:iCs w:val="0"/>
                <w:color w:val="000000"/>
                <w:sz w:val="21"/>
                <w:szCs w:val="21"/>
                <w:u w:val="none"/>
                <w:lang w:val="en-US" w:eastAsia="zh-CN" w:bidi="ar"/>
              </w:rPr>
              <w:t xml:space="preserve">脱色、影响读数、颜色污迹等现象。产品应符合国标1588－89《体温计》的要求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电子体温计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#1．显示范围32～42.9℃。测量时间：口腔1min、液下3min。电池为</w:t>
            </w:r>
            <w:r>
              <w:rPr>
                <w:rFonts w:hint="eastAsia" w:ascii="宋体" w:hAnsi="宋体" w:cs="宋体"/>
                <w:i w:val="0"/>
                <w:iCs w:val="0"/>
                <w:color w:val="000000"/>
                <w:sz w:val="21"/>
                <w:szCs w:val="21"/>
                <w:u w:val="none"/>
                <w:lang w:val="en-US" w:eastAsia="zh-CN" w:bidi="ar"/>
              </w:rPr>
              <w:t xml:space="preserve">纽扣</w:t>
            </w:r>
            <w:r>
              <w:rPr>
                <w:rFonts w:hint="eastAsia" w:ascii="宋体" w:hAnsi="宋体" w:eastAsia="宋体" w:cs="宋体"/>
                <w:i w:val="0"/>
                <w:iCs w:val="0"/>
                <w:color w:val="000000"/>
                <w:sz w:val="21"/>
                <w:szCs w:val="21"/>
                <w:u w:val="none"/>
                <w:lang w:val="en-US" w:eastAsia="zh-CN" w:bidi="ar"/>
              </w:rPr>
              <w:t xml:space="preserve">电池。蜂鸣提示：温度稳定约10秒鸣响。警示功能：高于37.81℃自动报警。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#1、仪器包括：主机(全金属材质）1台，横梁（金属材质）1件，大吊环2件，盛物盘2件，小吊耳2件，砝码1套。最大称量200g,感量20mg，不等臂偏差：3分度。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#1．最大称量200g，分度值0.2 g。 秤量允许误差为±0.5d(分度值)。砝码组合的总质量（包括标尺计量值）应不小于天平的最大秤量。冲压件表面应光洁平整，不应有毛刺、锋棱、裂纹。电镀件的镀层应色泽均匀，不应有露底和显见的麻点、水迹、擦伤等缺陷。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#1、10g×1,20g×2,50g×2,200g×2。塑料盒包装。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#1、0.1S,防水防震,数码显示，具有显示月、日、上下午时间和累计时间显示功能。秒表计时可选择简易计时。符合国标GB6050第一章要求。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#1、玻璃制。红液，0℃～100℃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#1.产品由测量机构、外壳等组成。指示面板与水平面成45度夹角。测量范围：（-0.2A~0~0.6A）（-1~0~3A）。仪表准确度等级：2.5级。对外界磁场的防御等级为Ⅲ级。规格：130mm×95mm×90mm。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#1.产品由测量机构、外壳等组成。指示面板与水平面成45度夹角。测量范围：（-1~0~3V）（-5~0~15V）。仪表准确度等级：2.5级。对外界磁场的防御等级为Ⅲ级。规格：130mm×95mm×90mm。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#1.产品由测量机构、外壳等组成。指示面板与水平面成45度夹角。测量范围：±300μA内阻。仪表准确度等级：2.5级。对外界磁场的防御等级为Ⅲ级。规格：130mm×95mm×90mm。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#1.10N。由方形弹簧盒（带刻板）、弹簧、提环、挂钩、指针等组成。零点可调。盒体外形尺寸：150mm×35mm×18mm。最小刻度：0.2N。金属表面防锈处理。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#1、5N。由方形弹簧盒（带刻板）、弹簧、提环、挂钩、指针等组成。零点可调。盒体外形尺寸：150mm×35mm×18mm。最小刻度：0.1N。金属表面防锈处理。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#1、1N。由方形弹簧盒（带刻板）、弹簧、提环、挂钩、指针等组成。零点可调。盒体外形尺寸：150mm×35mm×18mm。最小刻度：0.02N。金属表面防锈处理。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#1、5N，由对疲劳弹簧、可调节指针、旋片及刻度板等构成，最小刻度值为0.1N，白色塑料面板或铝板。面板尺寸：170mm×40mm×5mm。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#1、以三种材料圆柱体组成，分别为铜、铁、铝制成，三只圆柱体几何尺寸完全相同，直径20mm,高32mm。塑料盒定位包装。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#1.由铜、铁、铝、木材四种材料组成；四种材料均为25mm。木质致密，表面平整光滑，铁件电镀处理。塑料盒包装。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水平板、斜面板、小车、过渡塑料片、毛巾，布，小球2个(金属球、塑料球），硬盒组成。水平板和斜面板用合页连接，宽度和厚度尺寸要一致，宽度118mm，厚度12mm。水平板长度525mm，斜面板长200mm，小车为塑料制品，尺寸不小于110mm×75mm×40mm，金属球直径为16mm；塑料球直径为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主要用于中学物理演示静止物体的惯性实验用。由铝合金底座、铝立柱、弹簧铁锁、金属片及钢球组成。底座采用铝合金型材制成，外形尺寸为120mm×80mm×20mm。铝材中部为滑动槽，用于调节立柱位置时使用，调节应方便、可靠。立柱的顶端为球形凹窝，柱的直径为16mm，高20mm。弹簧锁为金属制品，锁的上面应有一开关</w:t>
            </w:r>
            <w:r>
              <w:rPr>
                <w:rFonts w:hint="eastAsia" w:ascii="宋体" w:hAnsi="宋体" w:cs="宋体"/>
                <w:i w:val="0"/>
                <w:iCs w:val="0"/>
                <w:color w:val="000000"/>
                <w:sz w:val="21"/>
                <w:szCs w:val="21"/>
                <w:u w:val="none"/>
                <w:lang w:val="en-US" w:eastAsia="zh-CN" w:bidi="ar"/>
              </w:rPr>
              <w:t xml:space="preserve">按钮</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按钮</w:t>
            </w:r>
            <w:r>
              <w:rPr>
                <w:rFonts w:hint="eastAsia" w:ascii="宋体" w:hAnsi="宋体" w:eastAsia="宋体" w:cs="宋体"/>
                <w:i w:val="0"/>
                <w:iCs w:val="0"/>
                <w:color w:val="000000"/>
                <w:sz w:val="21"/>
                <w:szCs w:val="21"/>
                <w:u w:val="none"/>
                <w:lang w:val="en-US" w:eastAsia="zh-CN" w:bidi="ar"/>
              </w:rPr>
              <w:t xml:space="preserve">控制锁舌,锁舌伸长长度约10mm。金属片直径33mm，中心有一小孔，孔径3mm。钢球直径约19mm，表面镀铬处理。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一块摩擦板和二块摩擦块组成。应附棉布、毛巾、木砂纸三种摩擦材料及固定的胶合板。摩擦板规格:600mm×60mm×10mm(误差在负2mm范围内）。摩擦块应采用塑料注塑成型摩擦面为木质（一个宽面一个窄面），规格应为：（110±5.4）mm×（50±3.9）mm×（35±3.9mm）。质量为50g±2g。摩擦块摩擦面的背面应各有两个放置钩码的孔，钩码孔直径应为28mm±1mm。在摩擦块一个端面的长方质心线上应设有挂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#1、由钢丝绕成的螺旋弹簧5种一组组成。5种螺旋弹簧拉力限量分别为：5N，3N，2N，1N，0.5N。弹簧直径分别为：1mm、0.9mm、0.8mm、0.6mm、0.5mm。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阿基米德原理实验器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#1、产品由筒、圆柱体、溢液杯等组成。透明溢液杯内径65mm、高140mm、离杯口20mm处有一倾角的溢水嘴，溢水嘴长不小于15mm；透明筒筒内径50mm,高约50mm；圆柱体外径50mm,高约50mm，内装细砂，上部带挂环。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溢杯、浮桶、塑料桶、圆柱体、铝柱二个组成。透明溢杯Φ65mm、高140mm、离杯口20mm处有一倾角的溢水嘴，溢水嘴长不小于15mm；塑料桶为透明，直径不小于35mm、高不小于100mm，侧面有0至90mm刻度标尺、底部有挂环；浮桶为半透明塑料制成，上下均有挂环、外形尺寸：Φ35mm、高80mm，内壁上有两条刻线、刻线距离10mm、外壁上有毫米刻度标示；圆柱体为金属材料制成，表面电镀处理，圆柱外径30mm、厚18mm,一端有挂环，铝柱直径30mm、厚10mm，其中一个有挂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组装式。产品由透明外筒、塑料接水槽、透明塑料深度实验筒及压强计等组成。透明外筒尺寸：外径104mm±1mm，高152mm±1mm。厚2mm±0.5mm。塑料接水槽尺寸为：200mm×125mm×35mm。透明塑料深度实验筒尺寸为：外径约30mm，高约190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#1、本仪器由承压盒、支杆、胶膜等组成。承压盒的</w:t>
            </w:r>
            <w:r>
              <w:rPr>
                <w:rFonts w:hint="eastAsia" w:ascii="宋体" w:hAnsi="宋体" w:cs="宋体"/>
                <w:i w:val="0"/>
                <w:iCs w:val="0"/>
                <w:color w:val="000000"/>
                <w:sz w:val="21"/>
                <w:szCs w:val="21"/>
                <w:u w:val="none"/>
                <w:lang w:val="en-US" w:eastAsia="zh-CN" w:bidi="ar"/>
              </w:rPr>
              <w:t xml:space="preserve">内径</w:t>
            </w:r>
            <w:r>
              <w:rPr>
                <w:rFonts w:hint="eastAsia" w:ascii="宋体" w:hAnsi="宋体" w:eastAsia="宋体" w:cs="宋体"/>
                <w:i w:val="0"/>
                <w:iCs w:val="0"/>
                <w:color w:val="000000"/>
                <w:sz w:val="21"/>
                <w:szCs w:val="21"/>
                <w:u w:val="none"/>
                <w:lang w:val="en-US" w:eastAsia="zh-CN" w:bidi="ar"/>
              </w:rPr>
              <w:t xml:space="preserve">Φ36mm，转轴孔径Φ4mm。支杆由Φ4mm的低碳钢制成，一端弯解为90°±1°，表面油漆。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#1、产品由U形玻璃管、刻度板、三通管、夹持柄等组成。量度范围：300mm。外形尺寸360×38×16mm.。U</w:t>
            </w:r>
            <w:r>
              <w:rPr>
                <w:rFonts w:hint="eastAsia" w:ascii="宋体" w:hAnsi="宋体" w:cs="宋体"/>
                <w:i w:val="0"/>
                <w:iCs w:val="0"/>
                <w:color w:val="000000"/>
                <w:sz w:val="21"/>
                <w:szCs w:val="21"/>
                <w:u w:val="none"/>
                <w:lang w:val="en-US" w:eastAsia="zh-CN" w:bidi="ar"/>
              </w:rPr>
              <w:t xml:space="preserve">型管用内径</w:t>
            </w:r>
            <w:r>
              <w:rPr>
                <w:rFonts w:hint="eastAsia" w:ascii="宋体" w:hAnsi="宋体" w:eastAsia="宋体" w:cs="宋体"/>
                <w:i w:val="0"/>
                <w:iCs w:val="0"/>
                <w:color w:val="000000"/>
                <w:sz w:val="21"/>
                <w:szCs w:val="21"/>
                <w:u w:val="none"/>
                <w:lang w:val="en-US" w:eastAsia="zh-CN" w:bidi="ar"/>
              </w:rPr>
              <w:t xml:space="preserve">均匀的玻璃管制成，其</w:t>
            </w:r>
            <w:r>
              <w:rPr>
                <w:rFonts w:hint="eastAsia" w:ascii="宋体" w:hAnsi="宋体" w:cs="宋体"/>
                <w:i w:val="0"/>
                <w:iCs w:val="0"/>
                <w:color w:val="000000"/>
                <w:sz w:val="21"/>
                <w:szCs w:val="21"/>
                <w:u w:val="none"/>
                <w:lang w:val="en-US" w:eastAsia="zh-CN" w:bidi="ar"/>
              </w:rPr>
              <w:t xml:space="preserve">内径</w:t>
            </w:r>
            <w:r>
              <w:rPr>
                <w:rFonts w:hint="eastAsia" w:ascii="宋体" w:hAnsi="宋体" w:eastAsia="宋体" w:cs="宋体"/>
                <w:i w:val="0"/>
                <w:iCs w:val="0"/>
                <w:color w:val="000000"/>
                <w:sz w:val="21"/>
                <w:szCs w:val="21"/>
                <w:u w:val="none"/>
                <w:lang w:val="en-US" w:eastAsia="zh-CN" w:bidi="ar"/>
              </w:rPr>
              <w:t xml:space="preserve">为4－6mm，壁厚不小于1mm。U形管竖直长度不小于365mm，两侧距离25±3mm。一端成喇叭口，另一端成“接头”状。三通管用外径为5.8mm的塑料制成，三个端头均为“接头”状。刻度板最小刻度为5mm，刻度总长为300mm。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#1、单滑轮2只，外径40mm。二并滑轮2组，外径40mm。滑轮框架结构均为封闭式，上下挂钩互成90°。轮盘、框架采用ABS塑料注塑制成。轮盘应转动灵活，轮盘沿</w:t>
            </w:r>
            <w:r>
              <w:rPr>
                <w:rFonts w:hint="eastAsia" w:ascii="宋体" w:hAnsi="宋体" w:cs="宋体"/>
                <w:i w:val="0"/>
                <w:iCs w:val="0"/>
                <w:color w:val="000000"/>
                <w:sz w:val="21"/>
                <w:szCs w:val="21"/>
                <w:u w:val="none"/>
                <w:lang w:val="en-US" w:eastAsia="zh-CN" w:bidi="ar"/>
              </w:rPr>
              <w:t xml:space="preserve">轴向窜动</w:t>
            </w:r>
            <w:r>
              <w:rPr>
                <w:rFonts w:hint="eastAsia" w:ascii="宋体" w:hAnsi="宋体" w:eastAsia="宋体" w:cs="宋体"/>
                <w:i w:val="0"/>
                <w:iCs w:val="0"/>
                <w:color w:val="000000"/>
                <w:sz w:val="21"/>
                <w:szCs w:val="21"/>
                <w:u w:val="none"/>
                <w:lang w:val="en-US" w:eastAsia="zh-CN" w:bidi="ar"/>
              </w:rPr>
              <w:t xml:space="preserve">距离不大于1.5mm。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制品。本产品由杠杆、轴、调平装置组成。外形尺寸：520mm×28mm×7mm。杠杆尺正面刻印厘米单位刻线，线宽不大于1.5mm，每5厘米印一长线并注数字，数字下面有挂孔。杠杆尺两端装有调平螺杆和调平螺母，表面均镀锌。螺母重不大于10g，每个螺杆可调</w:t>
            </w:r>
            <w:r>
              <w:rPr>
                <w:rFonts w:hint="eastAsia" w:ascii="宋体" w:hAnsi="宋体" w:cs="宋体"/>
                <w:i w:val="0"/>
                <w:iCs w:val="0"/>
                <w:color w:val="000000"/>
                <w:sz w:val="21"/>
                <w:szCs w:val="21"/>
                <w:u w:val="none"/>
                <w:lang w:val="en-US" w:eastAsia="zh-CN" w:bidi="ar"/>
              </w:rPr>
              <w:t xml:space="preserve">螺纹</w:t>
            </w:r>
            <w:r>
              <w:rPr>
                <w:rFonts w:hint="eastAsia" w:ascii="宋体" w:hAnsi="宋体" w:eastAsia="宋体" w:cs="宋体"/>
                <w:i w:val="0"/>
                <w:iCs w:val="0"/>
                <w:color w:val="000000"/>
                <w:sz w:val="21"/>
                <w:szCs w:val="21"/>
                <w:u w:val="none"/>
                <w:lang w:val="en-US" w:eastAsia="zh-CN" w:bidi="ar"/>
              </w:rPr>
              <w:t xml:space="preserve">长度25mm。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#1、产品由条形盒测力计 1支、小  车 1辆、钩  码 4支、溢水杯 1个、圆柱体吊桶 1个、量  杯 1个、小  桌 1个、海  绵 1块、量  筒 1个、U型管 1支、乳胶管 1根、压强计 1支、压强杯 1支、多孔盖板 1个、单孔盖板 1支、气  球 1个、止水夹 1个、杠杆尺 1根、立  杆 1根、底  座 1个、单滑轮 2个、二单滑轮 2个、横  梁 1根、钢  球 1个等组成。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量热器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#1、构造：1）外筒，2）盖架，3）量筒（铝制），4）护热套，5）接线盖塞，6）接线柱，7）接线棒，8）电热丝，9）橡皮塞，10）盖塞，11）搅拌器。技术要求：1）电热线为</w:t>
            </w:r>
            <w:r>
              <w:rPr>
                <w:rFonts w:hint="eastAsia" w:ascii="宋体" w:hAnsi="宋体" w:cs="宋体"/>
                <w:i w:val="0"/>
                <w:iCs w:val="0"/>
                <w:color w:val="000000"/>
                <w:sz w:val="21"/>
                <w:szCs w:val="21"/>
                <w:u w:val="none"/>
                <w:lang w:val="en-US" w:eastAsia="zh-CN" w:bidi="ar"/>
              </w:rPr>
              <w:t xml:space="preserve">镍铬</w:t>
            </w:r>
            <w:r>
              <w:rPr>
                <w:rFonts w:hint="eastAsia" w:ascii="宋体" w:hAnsi="宋体" w:eastAsia="宋体" w:cs="宋体"/>
                <w:i w:val="0"/>
                <w:iCs w:val="0"/>
                <w:color w:val="000000"/>
                <w:sz w:val="21"/>
                <w:szCs w:val="21"/>
                <w:u w:val="none"/>
                <w:lang w:val="en-US" w:eastAsia="zh-CN" w:bidi="ar"/>
              </w:rPr>
              <w:t xml:space="preserve">电阻线，阻值为2Ω或1Ω。2）电热丝工作状态中，电流为1.7~2A,电压6V时，100mL水通电10分钟时，</w:t>
            </w:r>
            <w:r>
              <w:rPr>
                <w:rFonts w:hint="eastAsia" w:ascii="宋体" w:hAnsi="宋体" w:cs="宋体"/>
                <w:i w:val="0"/>
                <w:iCs w:val="0"/>
                <w:color w:val="000000"/>
                <w:sz w:val="21"/>
                <w:szCs w:val="21"/>
                <w:u w:val="none"/>
                <w:lang w:val="en-US" w:eastAsia="zh-CN" w:bidi="ar"/>
              </w:rPr>
              <w:t xml:space="preserve">达到</w:t>
            </w:r>
            <w:r>
              <w:rPr>
                <w:rFonts w:hint="eastAsia" w:ascii="宋体" w:hAnsi="宋体" w:eastAsia="宋体" w:cs="宋体"/>
                <w:i w:val="0"/>
                <w:iCs w:val="0"/>
                <w:color w:val="000000"/>
                <w:sz w:val="21"/>
                <w:szCs w:val="21"/>
                <w:u w:val="none"/>
                <w:lang w:val="en-US" w:eastAsia="zh-CN" w:bidi="ar"/>
              </w:rPr>
              <w:t xml:space="preserve">温度10℃。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音叉、橡皮槌、共鸣箱，频率256Hz，音叉应为45#碳钢制成，表面镀铬，四面平直棱角应整齐，音叉总长190mm，叉枝厚约5mm，两支股内间距8mm，圆柄Φ7mm。槌头为橡胶带木质手柄，直径不小于20mm，长度160mm，共鸣箱应采用实木制成，空心，箱体带音叉插孔，外形尺寸：300mm×90mm×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#1、本仪器为单支系整块45号碳钢制成,表面镀烙,四面平直</w:t>
            </w:r>
            <w:r>
              <w:rPr>
                <w:rFonts w:hint="eastAsia" w:ascii="宋体" w:hAnsi="宋体" w:cs="宋体"/>
                <w:i w:val="0"/>
                <w:iCs w:val="0"/>
                <w:color w:val="000000"/>
                <w:sz w:val="21"/>
                <w:szCs w:val="21"/>
                <w:u w:val="none"/>
                <w:lang w:val="en-US" w:eastAsia="zh-CN" w:bidi="ar"/>
              </w:rPr>
              <w:t xml:space="preserve">棱角</w:t>
            </w:r>
            <w:r>
              <w:rPr>
                <w:rFonts w:hint="eastAsia" w:ascii="宋体" w:hAnsi="宋体" w:eastAsia="宋体" w:cs="宋体"/>
                <w:i w:val="0"/>
                <w:iCs w:val="0"/>
                <w:color w:val="000000"/>
                <w:sz w:val="21"/>
                <w:szCs w:val="21"/>
                <w:u w:val="none"/>
                <w:lang w:val="en-US" w:eastAsia="zh-CN" w:bidi="ar"/>
              </w:rPr>
              <w:t xml:space="preserve">整齐,总长为154mm,叉支厚5.5×8.5mm,圆柄.频率512</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以钢印载明,其误差不大于±0.5周,另附有共鸣箱和橡皮击槌。橡皮击槌球直径25mm，木柄直径8mm长170mm；共鸣箱外形尺寸：140mm×90mm×50mm。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发音齿轮</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#1、三片齿轮顶圆直径为Φ78mm。三片齿轮的齿数分别为  80、 60、 40齿，齿形角度为90°±1。三片齿轮相距23mm，装在转动轴上，轴下端为锥体，锥度为1∶20，大端直径为Φ10±0.1mm。零件表面防锈处理。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#1、由摆球、线绳组成。钢球直径19mm。摆球均沿直径方向钻孔，供穿线使用，钢球表面镀铬、抛光。摆球附悬线1根，长度均≥1100mm。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#1.标准温度20℃，温度范围0～70℃，分度值为1度。密度范围：1.000～2.000。在液体中倾斜度不大于0.2分度值。</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性能指标应符合GB/T 17764－1999的有关规定。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#1.标准温度20℃，温度范围10～70℃，分度值为1度。密度范围：0.700～1.000。在液体中倾斜度不大于0.2分度值。</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性能指标应符合GB/T 17764－1999的有关规定。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#1、由手柄、连杆、端盖、耐油橡皮圈、气缸体、底座等组成。手柄和底座为塑料制品。气缸体为透明塑料注塑成型，表面光洁、透明。</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气体做功内能减少演示器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#1、热敏电阻演示。产品由透明圆筒（内装热敏电阻）、酒精容器（置于透明圆筒内）、底座、橡胶塞、橡皮管及电路组成。透明圆筒应采用透明聚苯乙烯塑料注塑成型，壁厚≥2mm，</w:t>
            </w:r>
            <w:r>
              <w:rPr>
                <w:rFonts w:hint="eastAsia" w:ascii="宋体" w:hAnsi="宋体" w:cs="宋体"/>
                <w:i w:val="0"/>
                <w:iCs w:val="0"/>
                <w:color w:val="000000"/>
                <w:sz w:val="21"/>
                <w:szCs w:val="21"/>
                <w:u w:val="none"/>
                <w:lang w:val="en-US" w:eastAsia="zh-CN" w:bidi="ar"/>
              </w:rPr>
              <w:t xml:space="preserve">外径</w:t>
            </w:r>
            <w:r>
              <w:rPr>
                <w:rFonts w:hint="eastAsia" w:ascii="宋体" w:hAnsi="宋体" w:eastAsia="宋体" w:cs="宋体"/>
                <w:i w:val="0"/>
                <w:iCs w:val="0"/>
                <w:color w:val="000000"/>
                <w:sz w:val="21"/>
                <w:szCs w:val="21"/>
                <w:u w:val="none"/>
                <w:lang w:val="en-US" w:eastAsia="zh-CN" w:bidi="ar"/>
              </w:rPr>
              <w:t xml:space="preserve">100mm，高150mm。筒壁厚度均匀，无裂纹；与底座粘接牢固，无漏气；表面光洁、透明度良好，无条纹、无缩迹。酒精容器为塑料制品，置于透明圆筒内，且与底座固定可靠。橡胶塞应与出气孔配合良好。底座应为盒体，整体外形尺寸：226mm×150mm×55mm，盒盖为底座，上面竖直固定透明圆筒、安装外接线柱、增益、调零</w:t>
            </w:r>
            <w:r>
              <w:rPr>
                <w:rFonts w:hint="eastAsia" w:ascii="宋体" w:hAnsi="宋体" w:cs="宋体"/>
                <w:i w:val="0"/>
                <w:iCs w:val="0"/>
                <w:color w:val="000000"/>
                <w:sz w:val="21"/>
                <w:szCs w:val="21"/>
                <w:u w:val="none"/>
                <w:lang w:val="en-US" w:eastAsia="zh-CN" w:bidi="ar"/>
              </w:rPr>
              <w:t xml:space="preserve">旋钮</w:t>
            </w:r>
            <w:r>
              <w:rPr>
                <w:rFonts w:hint="eastAsia" w:ascii="宋体" w:hAnsi="宋体" w:eastAsia="宋体" w:cs="宋体"/>
                <w:i w:val="0"/>
                <w:iCs w:val="0"/>
                <w:color w:val="000000"/>
                <w:sz w:val="21"/>
                <w:szCs w:val="21"/>
                <w:u w:val="none"/>
                <w:lang w:val="en-US" w:eastAsia="zh-CN" w:bidi="ar"/>
              </w:rPr>
              <w:t xml:space="preserve">及电源指示灯和开关。塑料管：长度≥300mm。演示效果可见度良好，直观明显。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声热实验盒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结构：采用小型组合式结构，插接方便。仪器盒（弦定位座） 1套 ；弦调节轴 2个；弦定位柱 2个； 三角形片 1片； 弦（粗、细长均为360mm） 各1根；弦支座 2根；喇叭  8欧 2个；喇叭固定板 1个； 喇叭罩 1个；薄膜板 1个； U形插片座 2个 ；穿线钢球 1个 ；小锤 1个  ；铜丝（Φ0.3-Φ0.5） 1根； 指针 1根； 立柱 2根；拉线杆 1个；白屏 1块；销轴 ；铜棒 1根；凡士林 1盒；蜡烛 1根； 定位螺丝 1根。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纸盘扬声器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#1、扬声器的阻抗8Ω，功率5W。扬声器无杂音，演示效果明显。外径：165mm。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手持式喇叭</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#1、手持式，塑料制。功能：</w:t>
            </w:r>
            <w:r>
              <w:rPr>
                <w:rFonts w:hint="eastAsia" w:ascii="宋体" w:hAnsi="宋体" w:cs="宋体"/>
                <w:i w:val="0"/>
                <w:iCs w:val="0"/>
                <w:color w:val="000000"/>
                <w:sz w:val="21"/>
                <w:szCs w:val="21"/>
                <w:u w:val="none"/>
                <w:lang w:val="en-US" w:eastAsia="zh-CN" w:bidi="ar"/>
              </w:rPr>
              <w:t xml:space="preserve">音量</w:t>
            </w:r>
            <w:r>
              <w:rPr>
                <w:rFonts w:hint="eastAsia" w:ascii="宋体" w:hAnsi="宋体" w:eastAsia="宋体" w:cs="宋体"/>
                <w:i w:val="0"/>
                <w:iCs w:val="0"/>
                <w:color w:val="000000"/>
                <w:sz w:val="21"/>
                <w:szCs w:val="21"/>
                <w:u w:val="none"/>
                <w:lang w:val="en-US" w:eastAsia="zh-CN" w:bidi="ar"/>
              </w:rPr>
              <w:t xml:space="preserve">调节、语音播放、音乐播放。口径150mm，高240mm，输出功率15W。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#1、有机玻棒(附丝绸)，教师用。直径为12mm、长为295mm，一端为锥体，头部为球形状。丝绸尺寸不小于：150mm×150mm。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有机</w:t>
            </w:r>
            <w:r>
              <w:rPr>
                <w:rFonts w:hint="eastAsia" w:ascii="宋体" w:hAnsi="宋体" w:eastAsia="宋体" w:cs="宋体"/>
                <w:i w:val="0"/>
                <w:iCs w:val="0"/>
                <w:color w:val="000000"/>
                <w:sz w:val="21"/>
                <w:szCs w:val="21"/>
                <w:u w:val="none"/>
                <w:lang w:val="en-US" w:eastAsia="zh-CN" w:bidi="ar"/>
              </w:rPr>
              <w:t xml:space="preserve">棱(附丝绸），学生用。直径为8mm、长为150mm，一端为锥体，头部为球形状。丝绸尺寸不小于：100mm×100mm。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#1、聚碳酸酯棒(附毛皮)，教师用。直径为12mm、长为295mm，一端为锥体，头部为球形状。毛皮尺寸不小于：100mm×100mm。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#1、聚碳酸酯棒(附毛皮)，学生用。直径为8mm、长为150mm，一端为锥体，头部为球形状。毛皮尺寸不小于：60mm×60mm。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师用，一对装。产品由透明外壳、底座、金属球、导电杆、箔片等组成。外壳采用透明塑料注塑成型。金属球、导电杆用金属制成，表面镀铬处理。安装后无明显松动及歪斜现象。导电杆与外壳间应有绝缘套，安装后应无明显缝隙，取下方便，不致损坏箔片。金属箔片厚度不大于0.2mm，长度不小于20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#1、学生用，一对装。产品由透明外壳、导电杆、箔片组成。箔片</w:t>
            </w:r>
            <w:r>
              <w:rPr>
                <w:rFonts w:hint="eastAsia" w:ascii="宋体" w:hAnsi="宋体" w:cs="宋体"/>
                <w:i w:val="0"/>
                <w:iCs w:val="0"/>
                <w:color w:val="000000"/>
                <w:sz w:val="21"/>
                <w:szCs w:val="21"/>
                <w:u w:val="none"/>
                <w:lang w:val="en-US" w:eastAsia="zh-CN" w:bidi="ar"/>
              </w:rPr>
              <w:t xml:space="preserve">呈</w:t>
            </w:r>
            <w:r>
              <w:rPr>
                <w:rFonts w:hint="eastAsia" w:ascii="宋体" w:hAnsi="宋体" w:eastAsia="宋体" w:cs="宋体"/>
                <w:i w:val="0"/>
                <w:iCs w:val="0"/>
                <w:color w:val="000000"/>
                <w:sz w:val="21"/>
                <w:szCs w:val="21"/>
                <w:u w:val="none"/>
                <w:lang w:val="en-US" w:eastAsia="zh-CN" w:bidi="ar"/>
              </w:rPr>
              <w:t xml:space="preserve">条形。外壳采用透明塑料注塑成型，表面光洁明亮，无划痕。外形尺寸为50mm×30mm×60mm。导电杆Φ4mm，高约45mm。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对装。产品由底脚、金属圆筒、绝缘套、金属杆、指针架、指针和接地接线柱组成。金属筒Φ170mm,表面烤漆。仪器整体结构：在底脚上装着一个金属圆筒，圆筒的前面装有透明玻璃，后面装有附标线的毛玻璃，上壁装有绝缘套筒，一根金属杆穿过套筒，插入圆筒内，金属杆下部装有竖直的指针架，一根指针装在指针架的水平轴上，并可绕轴灵活转动，圆筒下壁一侧装有一个接线柱，用来外壳接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环境温度：-10~40℃。起电盘直径：235mm。放电距离：在相对湿度为65%的环境中火花放电距离≥30mm。本仪器由底座、莱顿瓶、支架、放电叉绝缘柄、集电杆、放电叉杆、导电层、中和电刷（感应电刷）、电刷杆、上轴及上轴螺钉、莱顿瓶盖、导电弹簧、大皮带轮、连接片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演示静电感应和感应起电。结构：二只金属制成的空心圆筒，空心圆筒外形尺寸为Φ60mm±1mm，高约68mm；一端为半球面，另一端为平口，将二只圆筒的平口对合起来，就成为一个枕形导体，每只导体均有绝缘支杆及底座。支杆为有机玻璃Φ12mm，高110mm；底座Φ85mm，高约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#1、螺旋灯座。底座塑料，尺寸：74mm×34mm×10mm,工作电压不大于36V,工作电流不大于2.5A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#1、由底座，接线柱，闸刀，刀座，刀承和绝缘手柄组成。底座：黑色塑料，尺寸：74mm×34mm×10mm  ,工作电压不超过36V，工作电流不超过6A。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Ω，2A；产品由线绕瓷管、滑动头、滑杆、支架、接线柱等主要部件组成。有氧化膜绝缘层的铜镍合金电阻丝密绕在瓷管上。变阻器电阻值误差不超过±10%。变阻器能在环境温度-10℃至+40℃，相对湿度不大于85%的条件下连续工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#1、50Ω，1.5A  ；电阻阻值误差≤10% ；绝缘层耐压1.5V ；工作温升≤300℃ ；绝缘电阻：≥20MΩ；耐压1.5kV不出现飞弧和击穿。 电接触：滑动头在滑动时电阻阻值应均匀化，不得有间断跳跃现象。触头机械压力：滑动头与电阻线、滑杆保持良好的弹性、接头应圆滑，压力均可，滑动应顺畅。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Ω，3A；产品由线绕瓷管、滑动头、滑杆、支架、接线柱等主要部件组成。有氧化膜绝缘层的铜镍合金电阻丝密绕在瓷管上。变阻器电阻值误差不超过±10%。变阻器能在环境温度-10℃至+40℃，相对湿度不大于85%的条件下连续工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阻圈用康铜丝绕制而成，通过接线柱固定于长方形塑料座中。塑料座外形尺寸为：95mm×30mm×20mm。阻值：5Ω、10Ω、15Ω各一只。总阻值误差≤±1％。电阻丝表面应经过绝缘处理，线圈排列整齐。塑料座应牢固美观，并标明电阻圈的规格。接线柱与电阻丝要接触良好。在额定电流下工作后，电阻丝无明显变形，绝缘层不得剥落，塑料座无灼焦及开裂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#1、电学仪器，供中学演示金属导体电阻定律用。木质底板尺寸：1050mm×130mm×15mm， 三种金属导线 分别为：铜丝（Φ0.5mm），铁丝（Φ0.5mm），镍铬丝（Φ0.5mm）2个组成。、三种线的有效长度均为1000mm。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#1、电学仪器，供中学演示金属导体电阻定律用。由塑料底板，三种金属导线 分别为：铜丝（Φ0.5mm），铁丝（Φ0.5mm），镍铬丝（Φ0.5mm）2条组成。有效长度均为500mm。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演示电阻箱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#1、采用插头式电阻箱的解剖形式，插接柱采用铜金属材质，用于演示插头式电阻箱的基本构造和原理。裸露式锰铜线绕丝，最大电工作流：2A（1Ω、2Ω）、1A（5Ω）。整体固定</w:t>
            </w:r>
            <w:r>
              <w:rPr>
                <w:rFonts w:hint="eastAsia" w:ascii="宋体" w:hAnsi="宋体" w:cs="宋体"/>
                <w:i w:val="0"/>
                <w:iCs w:val="0"/>
                <w:color w:val="000000"/>
                <w:sz w:val="21"/>
                <w:szCs w:val="21"/>
                <w:u w:val="none"/>
                <w:lang w:val="en-US" w:eastAsia="zh-CN" w:bidi="ar"/>
              </w:rPr>
              <w:t xml:space="preserve">在</w:t>
            </w:r>
            <w:r>
              <w:rPr>
                <w:rFonts w:hint="eastAsia" w:ascii="宋体" w:hAnsi="宋体" w:eastAsia="宋体" w:cs="宋体"/>
                <w:i w:val="0"/>
                <w:iCs w:val="0"/>
                <w:color w:val="000000"/>
                <w:sz w:val="21"/>
                <w:szCs w:val="21"/>
                <w:u w:val="none"/>
                <w:lang w:val="en-US" w:eastAsia="zh-CN" w:bidi="ar"/>
              </w:rPr>
              <w:t xml:space="preserve">木板上，附支脚，木板尺寸：238mm×98mm×8mm。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#1、仪器采用胶木密封结构，电阻变换方式为开关式，电阻采</w:t>
            </w:r>
            <w:r>
              <w:rPr>
                <w:rFonts w:hint="eastAsia" w:ascii="宋体" w:hAnsi="宋体" w:cs="宋体"/>
                <w:i w:val="0"/>
                <w:iCs w:val="0"/>
                <w:color w:val="000000"/>
                <w:sz w:val="21"/>
                <w:szCs w:val="21"/>
                <w:u w:val="none"/>
                <w:lang w:val="en-US" w:eastAsia="zh-CN" w:bidi="ar"/>
              </w:rPr>
              <w:t xml:space="preserve">用</w:t>
            </w:r>
            <w:r>
              <w:rPr>
                <w:rFonts w:hint="eastAsia" w:ascii="宋体" w:hAnsi="宋体" w:eastAsia="宋体" w:cs="宋体"/>
                <w:i w:val="0"/>
                <w:iCs w:val="0"/>
                <w:color w:val="000000"/>
                <w:sz w:val="21"/>
                <w:szCs w:val="21"/>
                <w:u w:val="none"/>
                <w:lang w:val="en-US" w:eastAsia="zh-CN" w:bidi="ar"/>
              </w:rPr>
              <w:t xml:space="preserve">高稳定的漆包锰铜丝以无感方式绕于高频瓷管上和定值电阻，电阻制式为1：2：2：2：2。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#2、主要性能：1）准确等级0.5级；2）阻值范围0～9999.9Ω，3）零位电阻小于0.05Ω；4）电路对外壳的金属部分的绝缘电阻大于20MΩ。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#1、仪器采用</w:t>
            </w:r>
            <w:r>
              <w:rPr>
                <w:rFonts w:hint="eastAsia" w:ascii="宋体" w:hAnsi="宋体" w:cs="宋体"/>
                <w:i w:val="0"/>
                <w:iCs w:val="0"/>
                <w:color w:val="000000"/>
                <w:sz w:val="21"/>
                <w:szCs w:val="21"/>
                <w:u w:val="none"/>
                <w:lang w:val="en-US" w:eastAsia="zh-CN" w:bidi="ar"/>
              </w:rPr>
              <w:t xml:space="preserve">旋钮</w:t>
            </w:r>
            <w:r>
              <w:rPr>
                <w:rFonts w:hint="eastAsia" w:ascii="宋体" w:hAnsi="宋体" w:eastAsia="宋体" w:cs="宋体"/>
                <w:i w:val="0"/>
                <w:iCs w:val="0"/>
                <w:color w:val="000000"/>
                <w:sz w:val="21"/>
                <w:szCs w:val="21"/>
                <w:u w:val="none"/>
                <w:lang w:val="en-US" w:eastAsia="zh-CN" w:bidi="ar"/>
              </w:rPr>
              <w:t xml:space="preserve">式结构，外壳用塑料压制而成。阻值范围0～9999Ω，最小步进值为1Ω；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#2、各档电阻示值误差参照国家标准电阻箱相对误差公式。各档电阻的主要技术参数：1～9Ω，线绕电阻±1%，功率为3W；10～495Ω，RTL测量膜电阻±1%，功率为1W；500～9990Ω，RTL测量膜电阻±1%，功率为1/2W。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插拼式。线路板由底板4块、电池夹6个、单极开关3个、双极开关1个、灯座3个、绕线电阻（4W5欧1个、10欧2个、15欧1个、20欧1个）、接线柱座6个、空位插座1个、镍铬丝直径0.3mm的3.3米、康铜丝直径0.3mm的1.1米、铁铬丝直径0.3mm的1.1米、电珠（3.8V4只、6.2V2只）、A符插座3个、V符插座3个、吊环14个、拼接肖30个、走线插座60个、三角插板5个、压杆和压钩各2个、各种规格连接导线若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#2、底板共4块，采用塑料注塑成型。单板面积为360mm×240mm，分布96个小孔，纵横距离30mm。单台包装采用彩色纸盒包装。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初中电学演示箱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磁昅式。演示箱包括特大高清型磁吸式演示电流表（0-0.6A、0-3A，尺寸：320*330*6mm）1个；特大高清型磁吸式演示电压表（0-3A、0-15V，尺寸：320*330*6mm）1个；大型磁吸式演示电池盒（尺寸：150*35*27mm）4个；大型磁吸式演示单刀单掷开关2</w:t>
            </w:r>
            <w:r>
              <w:rPr>
                <w:rFonts w:hint="eastAsia" w:ascii="宋体" w:hAnsi="宋体" w:eastAsia="宋体" w:cs="宋体"/>
                <w:i w:val="0"/>
                <w:iCs w:val="0"/>
                <w:color w:val="000000"/>
                <w:sz w:val="21"/>
                <w:szCs w:val="21"/>
                <w:u w:val="none"/>
                <w:lang w:val="en-US" w:eastAsia="zh-CN" w:bidi="ar"/>
              </w:rPr>
              <w:t xml:space="preserve">个；大型磁吸式演示单刀双掷开关1个；磁吸式演示滑动变阻器2个（20欧和50欧）；大型磁吸式演示灯座3个；演示用电动机模型1个；大型磁吸式定值电阻，5欧，10欧，15欧，20欧各1个；演示实验用电珠，灯泡5个2.5V；演示用鳄鱼夹导线10根；演示用电阻定律（康铜丝直径0.5mm、镍铬丝直径0.5mm和0.7mm各一根，底座尺寸：610*90*15mm）1个；发光二极管2个。铝合金教具实验箱（665mm*350mm*160mm）1个。灯座、发光二极管、定值电阻、单刀单掷、双掷的底座尺寸：115*60*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#1、拼接式。线路板由实验板1块、电池盒4个、单极开关3个、灯座3个、5欧电阻座2个、10欧电阻座2个、走线插座6个、小灯泡及各种规格的导线构成。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#2、实验板由ABS工程塑料制成，单板面积为360×240mm，板面上均布等间距的96个小孔。包装采用彩色纸盒。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#1、底座、接线柱，闸刀，刀座，双刀承和绝缘手柄组成。开关的最高工作电压36V，额定工作电流6A。底座为塑料制，尺寸：77mm×35mm×9mm。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#1、底座、接线柱，双闸刀，刀座，双刀承和绝缘手柄组成。开关的最高工作电压36V，额定工作电流6A。底座为塑料制，尺寸：77mm×53mm×10mm。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#1、产品由演示板、贮气盒两只，电阻：5Ω线绕电阻、玻璃管2根等组成。电源电压：直流稳压6V；电流小于2A。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#2、演示板采用塑料注塑成型，颜色为白色，外形尺寸290mm×245mm×4mm；演示板上印刷有刻度线，每5mm为短刻线、10mm为长刻线，并标有数字，刻线数量不小于13条。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#3、贮气盒采用透明塑料制，尺寸：78mm×78mm×30mm。在10分钟内，演示效果明显。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#1、产品由演示板、贮气盒两只，电阻：5Ω线绕电阻、玻璃管2根等组成。电源电压：直流稳压6V；电流小于2A。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#2、演示板采用塑料注塑成型，颜色为白色，外形尺寸290mm×245mm×4mm；演示板上印刷有刻度线，每5mm为短刻线、10mm为长刻线，并标有数字，刻线数量不小于13条。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#3、贮气盒采用透明塑料制，尺寸：78mm×78mm×30mm。在10分钟内，演示效果明显。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#1、手提式带支脚。面板尺寸；450mm×310mm。面板布局合理、标志字迹清晰、插接使用方便。外接电压：220V 50Hz，电流表1只。应配置12V 21W灯泡1只，12V 10W灯泡1只。演示直观，可见度好。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玩具电动机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#1、带座和风扇。产品由小电机、风叶、电机固定架、支架组成。风叶、固定架、支架采用塑料注塑成型。小电机：使用直流电压3V。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电子门铃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#1、产品由门铃、开关及连接导线组成。门铃是通过开关控制，声频为音乐。电源电压为直流1.5V。门铃的外壳为塑料制。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#1、D-CG-LT-180，一对装，外形尺寸：178mm×20mm×10mm。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#1、D-CG-LU-80，附衔铁。外形尺寸：60mm×16mm×80mm。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#1、产品由透明有机成型盒内装细铁粉、配条形磁铁组成。透明有机成型盒外形尺寸：200mm×110mm×30mm，盒体下部一角应有释放铁粉的螺丝孔。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演示器由圆形立体磁感线演示器组成；圆形立体磁感线演示器由铆有可自动转动的软铁小指针366个，透明塑料制成6块立片（相向60°）及条形磁铁或圆柱形磁铁组成。上下两圆片的直径为170mm，组装后的高度为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#1、产品由有孔塑料板、小磁针、脚及条形磁铁组成。塑料板为透明有机板注塑成形，内封小针576个，外形尺寸为250mm×250mm。小磁针直径约1mm，长约4mm，为黑色，磁针在板内孔中应转动灵活。脚为塑料，高为12mm。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#1、产品由透明底座、方线圈、圆线圈、螺线管组成。底座尺寸为：178×138×38mm。方线圈（60×60mm),圆线圈（Φ35mm），螺线管（Φ55mm）采用优质铜线。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#1、一套16个，带底座，小磁针宽大于3mm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#1.磁学仪器，供演示磁体的指向性和磁极的相互作用。有垂直翼形针体和支座两部分。一对装。磁针长度140mm、宽8mm，塑料底座直径70mm。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小型电动机实验器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主要由机架、转子、转轴螺钉、磁钢、磁钢架、换向器、电刷、接线柱、一字螺丝刀、扳手、连接导线组成。机架用优质工程塑料制作，外形尺寸为93.5mm×48.6mm×90.5mm，磁钢尺寸为20mm×20mm×19.5mm，换向器、电刷用磷铜制作，连接导线两端为Y型线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#1、产品由螺旋管3支、铁芯2支、连接片1个、衔铁1个、铃声1个及塑料盒组成。铁芯直径5mm，长47mm。线圈骨架长44mm，为弹簧装置。盒体尺寸：116mm×77mm×28mm。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立式结构，由电磁铁、衔铁、铁铃、衬板和底座组成。工作电压：直流3～6V。外形尺寸：约85mm×85mm×190mm。影响效果在15米范围内铃声清晰。电磁铁线圈的直流电阻为10～20Ω。衔铁的触点为铜质。电路导线的走向应醒目整齐。铁铃采用Φ55mm国产自行车铃盖。底板应放置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演示用，主要由电磁系统和触点系统两部分组成。电磁系统包括：电磁线圈、铁芯、轭铁、衔铁，触点系统包括：常开、常闭触点各一对。卧式或立式吸合电流不大于48mA。金属表面电镀处理。底座尺寸：167mm×106mm×22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#1、分组用。主要由电磁线圈、铁芯、轭铁、衔铁、常开、常闭触点各一对等组成。底座外形尺寸：70mm×50mm×10mm。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8"/>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#1、仪器由底座、U型磁钢架、活动轨道2根、空心铜管（导电管）、框架1套、连接导线2根组成。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#2、底座应采用塑料注塑成型，表面平整光滑，无变形现象，外形尺寸165mm×106mm×23mm，底座上应有外接用接线柱和活动导轨用四个插孔。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#3、U型磁钢架外形尺寸98mm×40mm×74mm，内置两块永磁铁。磁铁固定在U型架上可靠。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#4、接入电源DC4V-6V；活动轨道直径3.5mm，长140mm，两端为弹性插头，插接方便，固定可靠。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#5、空心铜管外径5mm,内径4mm,长100mm。框架外形尺寸80mm×72mm，附两根接线带叉。附带鱼夹头导线两根（一红一黑）。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能的转化实验器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#1、产品由底座、电机、支架、手轮、电池盒、风叶、发光二极管及开关组成。底座采用塑料注塑成型，外形尺寸：145mm×100mm×20mm。所有组件均安装在底座上，底座上印刷线路应正确、清晰。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磁悬浮演示器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1、仪器由底座，浮体及挡板组成。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原副线圈由原线圈、副线圈、软铁芯三部分组成。 原线圈骨架：圆筒内径 11mm；圆筒外径 15mm；绕线宽度 57mm。 付线圈骨架：圆筒内径 24mm；圆筒外径 30mm；绕线宽度 50mm。铁芯：Φ 10mm；长度 不小于77mm。 外形尺寸：60mm×40mm×88mm。 原</w:t>
            </w:r>
            <w:r>
              <w:rPr>
                <w:rFonts w:hint="eastAsia" w:ascii="宋体" w:hAnsi="宋体" w:cs="宋体"/>
                <w:i w:val="0"/>
                <w:iCs w:val="0"/>
                <w:color w:val="000000"/>
                <w:sz w:val="21"/>
                <w:szCs w:val="21"/>
                <w:u w:val="none"/>
                <w:lang w:val="en-US" w:eastAsia="zh-CN" w:bidi="ar"/>
              </w:rPr>
              <w:t xml:space="preserve">副线圈</w:t>
            </w:r>
            <w:r>
              <w:rPr>
                <w:rFonts w:hint="eastAsia" w:ascii="宋体" w:hAnsi="宋体" w:eastAsia="宋体" w:cs="宋体"/>
                <w:i w:val="0"/>
                <w:iCs w:val="0"/>
                <w:color w:val="000000"/>
                <w:sz w:val="21"/>
                <w:szCs w:val="21"/>
                <w:u w:val="none"/>
                <w:lang w:val="en-US" w:eastAsia="zh-CN" w:bidi="ar"/>
              </w:rPr>
              <w:t xml:space="preserve">骨架用黑色塑料制成，表面光洁。付线圈底座平整，直立于平面时不应晃动。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#1、分离型、磁吸附式。矩形光盘长≥650 mm，宽≥240 mm；圆形光盘直径≥245 mm。盘面分四个象限，以一条直径为始边，分别刻有0°～90°刻度。半导体激光光源，可显示 5条平行光。光学零件：梯形玻砖 1 件，等腰直角棱镜 1 件，半圆柱透镜 1 件，小双凹柱透镜 1 件，小双凸柱透镜 1 件，大双凸柱透镜 1 件，平面镜 1 件，凹凸柱面镜 1 件，正三棱镜 2 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配置为面镜、镜框、支架、镜座（各1个）组成；凹面镜的直径为100±2mm；焦距为65±10mm；基片采用普通玻璃制成，在距基片中心三分之二半径范围内，不得有目测到的气泡、结石和条纹；反射膜镀层应均匀，有牢固的保护层；镜框、支架、镜座均为塑料结构，整机应有足够的稳度；镜面可前后移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配置为面镜、镜框、支架、镜座（各1个）组成；凸面镜的直径为100±2mm；焦距为-65±10mm；基片采用普通玻璃制成，在距基片中心三分之二半径范围内，不得有目测到的气泡、结石和条纹；反射膜镀层应均匀，有牢固的保护层；镜框、支架、镜座均为塑料结构，整机应有足够的稳度；镜面可前后移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#1、长方形玻璃砖。外形尺寸：80mm×45mm×15mm。</w:t>
            </w:r>
            <w:r>
              <w:rPr>
                <w:rFonts w:hint="eastAsia" w:ascii="宋体" w:hAnsi="宋体" w:cs="宋体"/>
                <w:i w:val="0"/>
                <w:iCs w:val="0"/>
                <w:color w:val="000000"/>
                <w:sz w:val="21"/>
                <w:szCs w:val="21"/>
                <w:u w:val="none"/>
                <w:lang w:val="en-US" w:eastAsia="zh-CN" w:bidi="ar"/>
              </w:rPr>
              <w:t xml:space="preserve">两端</w:t>
            </w:r>
            <w:r>
              <w:rPr>
                <w:rFonts w:hint="eastAsia" w:ascii="宋体" w:hAnsi="宋体" w:eastAsia="宋体" w:cs="宋体"/>
                <w:i w:val="0"/>
                <w:iCs w:val="0"/>
                <w:color w:val="000000"/>
                <w:sz w:val="21"/>
                <w:szCs w:val="21"/>
                <w:u w:val="none"/>
                <w:lang w:val="en-US" w:eastAsia="zh-CN" w:bidi="ar"/>
              </w:rPr>
              <w:t xml:space="preserve">侧面和一正面磨砂，</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三面为光面。玻璃砖的边缘倒角按GB1204-75《光学零件的倒角》的要求进行；精加工面不允许有目测划痕和砂眼，边缘</w:t>
            </w:r>
            <w:r>
              <w:rPr>
                <w:rFonts w:hint="eastAsia" w:ascii="宋体" w:hAnsi="宋体" w:cs="宋体"/>
                <w:i w:val="0"/>
                <w:iCs w:val="0"/>
                <w:color w:val="000000"/>
                <w:sz w:val="21"/>
                <w:szCs w:val="21"/>
                <w:u w:val="none"/>
                <w:lang w:val="en-US" w:eastAsia="zh-CN" w:bidi="ar"/>
              </w:rPr>
              <w:t xml:space="preserve">不允</w:t>
            </w:r>
            <w:r>
              <w:rPr>
                <w:rFonts w:hint="eastAsia" w:ascii="宋体" w:hAnsi="宋体" w:eastAsia="宋体" w:cs="宋体"/>
                <w:i w:val="0"/>
                <w:iCs w:val="0"/>
                <w:color w:val="000000"/>
                <w:sz w:val="21"/>
                <w:szCs w:val="21"/>
                <w:u w:val="none"/>
                <w:lang w:val="en-US" w:eastAsia="zh-CN" w:bidi="ar"/>
              </w:rPr>
              <w:t xml:space="preserve">许有裂、碎、缺角。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#1、产品由平凸透镜（Φ=50mm、F=300±12mm）1件、双凸透镜（Φ=30mm、F=50±3mm）1件、毛玻璃屏带支架（80mm×118mm）1件、1字屏（80mm×105mm）1件、</w:t>
            </w:r>
            <w:r>
              <w:rPr>
                <w:rFonts w:hint="eastAsia" w:ascii="宋体" w:hAnsi="宋体" w:eastAsia="宋体" w:cs="宋体"/>
                <w:i w:val="0"/>
                <w:iCs w:val="0"/>
                <w:color w:val="000000"/>
                <w:sz w:val="21"/>
                <w:szCs w:val="21"/>
                <w:u w:val="none"/>
                <w:lang w:val="en-US" w:eastAsia="zh-CN" w:bidi="ar"/>
              </w:rPr>
              <w:t xml:space="preserve">烛台1件、插杆5根、光源（DC6V、8W）配有Φ36mmF=50mm的双凸透镜1套、滑块4只、双凸透镜（Φ=40mm、F=100±3mm）1件、双凹透镜（Φ=30mm、F=-75±5mm）1件、白屏（80mm×105mm）1件、刻度尺1根、底座2件、导轨2根等组成。导轨采用不锈钢管制成，外径约16mm。标尺：总长约960mm,宽为18mm；刻线长度900mm,最小刻度为1mm。滑块采用ABS塑料注塑成型，滑块和支架的插杆孔中心在一条线上，指示刻线与标尺间隙约3mm。插杆直径约6mm，长约75mm，表面镀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光具组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光学元件、毛玻璃屏、1字屏、白屏、烛台、底座、插杆、支架及光源组成。平行光源：光源用电压6-8V，功率不小于3W的灯泡。透镜：F=100±2mm，Φ=40mm；F=50±2mm，Φ=30mm；F=300±12mm，Φ=50mm；F=-75±4.5mm，Φ=30mm。底座4只为塑料制品，底座上应有锁紧螺丝、可使插杆上下移动。插杆为金属制5根，表面电镀处理，直径6mm，长75mm，一端为连接丝杆为M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#1．产品由三棱镜、托架、支柱、底座等组成。三棱镜体外形为正三棱柱，边长25mm，相邻两角为60±0.5°，棱长80mm。三棱镜体能作任意方向的转动，并能停止在任意位置。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#1、由棱镜、棱镜台、白屏、支杆及光源等组成。棱镜为重量火石玻璃，顶角为60°。光源额定电压为6-8V。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#1、产品由凸透镜、凹透镜、支架和底座组成。凹凸透镜直径46mm。塑料框架及支杆，支杆直径10mm、长54mm。塑料底座直径64mm。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#1、由平面镜1个、平面镜支架1对、带刻度三角尺、像物2个组成。平面镜尺寸约：120mm×70mm，厚度5mm。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6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配置及特征参数j：由演示板、红色激光光源、绿色激光光源、光学配件（凸凹面镜、半圆玻璃砖、双凸透镜、双凹透镜、梯形玻璃砖、等边三角形玻璃砖、直角等腰三角玻璃砖、平面镜）、漫反射镜、水箱圆盘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#2.核心产品技术指标xc：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演示板：外形尺寸≥666*470mm（±5mm）；上下为铝型材结构，6063-T5材料,具有良好的抗拉强度，表面黑色氧化细喷砂处理,左右为ABS塑料精密注塑成型边框；表盘外径300mm，盘面分四个象限，以一条直径为始边，分别刻有 0°～90°刻度：功能描述：整体为磁吸附式结构，可吸附激光光源、水箱圆盘、光学配件等进行相应光学实验；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光学零件：产品组成：凸凹面镜、半圆玻璃砖、双凸透镜、双凹透镜、梯形玻璃砖、等边三角形玻璃砖、直角等腰三角玻璃砖、平面镜；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规格：统一厚度20mm；主要材质：PMMA；工艺：精加工、抛光；功能描述：磁吸式，配合激光光源可直接或吸附在本演示板或其他磁性材料上进行光线折射等相应光学实验；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水箱圆盘：规格：≥φ250mm*34mm（±5mm）；主要材质：PMMA；功能描述：磁吸式，可放入水等液体进行不同物质界面的折射实验；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#3.能够完成的教学演示：光的传播；光的反射；光的折射。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#1、产品由塑胶笔身和激光头、</w:t>
            </w:r>
            <w:r>
              <w:rPr>
                <w:rFonts w:hint="eastAsia" w:ascii="宋体" w:hAnsi="宋体" w:cs="宋体"/>
                <w:i w:val="0"/>
                <w:iCs w:val="0"/>
                <w:color w:val="000000"/>
                <w:sz w:val="21"/>
                <w:szCs w:val="21"/>
                <w:u w:val="none"/>
                <w:lang w:val="en-US" w:eastAsia="zh-CN" w:bidi="ar"/>
              </w:rPr>
              <w:t xml:space="preserve">纽扣电池</w:t>
            </w:r>
            <w:r>
              <w:rPr>
                <w:rFonts w:hint="eastAsia" w:ascii="宋体" w:hAnsi="宋体" w:eastAsia="宋体" w:cs="宋体"/>
                <w:i w:val="0"/>
                <w:iCs w:val="0"/>
                <w:color w:val="000000"/>
                <w:sz w:val="21"/>
                <w:szCs w:val="21"/>
                <w:u w:val="none"/>
                <w:lang w:val="en-US" w:eastAsia="zh-CN" w:bidi="ar"/>
              </w:rPr>
              <w:t xml:space="preserve">组成。</w:t>
            </w:r>
            <w:r>
              <w:rPr>
                <w:rFonts w:hint="eastAsia" w:ascii="宋体" w:hAnsi="宋体" w:cs="宋体"/>
                <w:i w:val="0"/>
                <w:iCs w:val="0"/>
                <w:color w:val="000000"/>
                <w:sz w:val="21"/>
                <w:szCs w:val="21"/>
                <w:u w:val="none"/>
                <w:lang w:val="en-US" w:eastAsia="zh-CN" w:bidi="ar"/>
              </w:rPr>
              <w:t xml:space="preserve">适用范围</w:t>
            </w:r>
            <w:r>
              <w:rPr>
                <w:rFonts w:hint="eastAsia" w:ascii="宋体" w:hAnsi="宋体" w:eastAsia="宋体" w:cs="宋体"/>
                <w:i w:val="0"/>
                <w:iCs w:val="0"/>
                <w:color w:val="000000"/>
                <w:sz w:val="21"/>
                <w:szCs w:val="21"/>
                <w:u w:val="none"/>
                <w:lang w:val="en-US" w:eastAsia="zh-CN" w:bidi="ar"/>
              </w:rPr>
              <w:t xml:space="preserve">7-15m，波长650 nm。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使用光源为红、绿、蓝发光二极管。工作电压：DC4.5V内置（3节5号电池）也可外接电源，三色光分别为开关控制、实验时单色光斑在观察屏上的直径30±１mm（可直视）。三色光斑互相重叠部分呈白色，红、蓝色光斑重叠部分为品红色，红、绿色光斑重叠部分为黄色，蓝、绿色光斑重叠部分为青色，实验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放大镜由透镜、镜框及压圈组成，有效通光孔径≥40mm。镜圈采用硬质塑料制成，表面平整清洁、无划痕、溶迹、缩迹、气泡和烧粉夹生现象，边缘无毛刺、变形、破边和凹凸不平。透镜用光学玻璃制成，表面应清洁无麻点、擦痕及划痕，外型端正、焦距正确。透镜与镜圈结合紧密，无晃动及透镜脱出现象。透镜成像清晰，无畸变现象，放大倍数≥3X。手把用塑料制成，表面平整、无划痕、溶迹、缩迹。手把与镜圈连接牢固，无断裂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#1、Φ30mm×200mm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#1、圆、长，500mL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平底管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#1、Φ12mm×150mm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#1、T形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#1、内径10mm×800mm，有胶塞，带刻度衬板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#1、不锈钢或不锈铁，小号125mm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#1、由金属网和附在网上的石棉组成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#1、5*7mm，乳胶制品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瓷，Φ60-75mm，附中铁圈。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皿口内径：Φ60mm±2mm；皿高约为外径的1/2。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白色无杂色。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铁粉</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硫酸铝钾(明矾)</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硫代硫酸钠(海波)</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无水硫酸铜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甘油</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煤油</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石腊</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电工材料</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#1、鳄鱼夹红黑各4个、香蕉插座红黑各4个、香蕉插头红黑各4个、电阻丝1根、接线叉红黑各4个、导线两色各1米。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电子元件(工业产品)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#1、线绕电阻（5Ω4W1只、10Ω4W1只、20Ω4W1只）、电阻(100Ω、200Ω、1KΩ、2KΩ、10KΩ、20KΩ、47KΩ、100KΩ、220KΩ)、电容（0.01pf、510pf、100pf、0.02pf</w:t>
            </w:r>
            <w:r>
              <w:rPr>
                <w:rFonts w:hint="eastAsia" w:ascii="宋体" w:hAnsi="宋体" w:eastAsia="宋体" w:cs="宋体"/>
                <w:i w:val="0"/>
                <w:iCs w:val="0"/>
                <w:color w:val="000000"/>
                <w:sz w:val="21"/>
                <w:szCs w:val="21"/>
                <w:u w:val="none"/>
                <w:lang w:val="en-US" w:eastAsia="zh-CN" w:bidi="ar"/>
              </w:rPr>
              <w:t xml:space="preserve">、0.1Mf各一）、电感2.5Mf、光敏电阻、干簧管、二极管（2AP9、4001各二）、发光二极管（Φ5、Φ8各二）、三极管（3AX、3AG、9013、9014、9018）、电解电容（10uf、100uf二只、470uf）、可控硅、小话筒、可变电阻47KΩ、电位器470KΩ、旋钮Φ6Φ4.5各一、可变电容203pf、功率放大集成电路一套、音乐集成电路、喇叭8Ω、磁棒天线、导线（60、100、150、200mm长各10根）、小灯座2个、灯泡、电池盒5号二只、开关（拨动式、按键式）、接线夹10个、松香、焊锡丝、</w:t>
            </w:r>
            <w:r>
              <w:rPr>
                <w:rFonts w:hint="eastAsia" w:ascii="宋体" w:hAnsi="宋体" w:cs="宋体"/>
                <w:i w:val="0"/>
                <w:iCs w:val="0"/>
                <w:color w:val="000000"/>
                <w:sz w:val="21"/>
                <w:szCs w:val="21"/>
                <w:u w:val="none"/>
                <w:lang w:val="en-US" w:eastAsia="zh-CN" w:bidi="ar"/>
              </w:rPr>
              <w:t xml:space="preserve">电烙铁</w:t>
            </w:r>
            <w:r>
              <w:rPr>
                <w:rFonts w:hint="eastAsia" w:ascii="宋体" w:hAnsi="宋体" w:eastAsia="宋体" w:cs="宋体"/>
                <w:i w:val="0"/>
                <w:iCs w:val="0"/>
                <w:color w:val="000000"/>
                <w:sz w:val="21"/>
                <w:szCs w:val="21"/>
                <w:u w:val="none"/>
                <w:lang w:val="en-US" w:eastAsia="zh-CN" w:bidi="ar"/>
              </w:rPr>
              <w:t xml:space="preserve">、连接板、螺批（十字、一字）。吸塑定位纸盒包装。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新材料样品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#1、塑料盒体包装，上盖透明。盒底贴有标签（纳米材料、超导材料、形状记忆合金、单晶和多晶、光导纤维、隐形材料），尺寸：206mm×125mm×35mm。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家庭电路器材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#1、器材由空气开关、漏电保护器、螺丝口灯座、三孔插座、三孔插头、插入式保险盒、拉线开关、按钮开关、声控开关、光控开关、导线组成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锌片、铜片、磁性橡胶片、小钢球、乒乓球2个、大头针、回形针、保险管(1A、2A、3A、5A各2只)、焊锡、松香、橡皮泥2块、绝缘胶布、透明胶带、小蜡烛、塑料板、灯芯、玻璃板、毛巾、擦布、橡皮筋10根、气球2个、塑料袋、纸板2张。吸塑定位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彩色透光片</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#1、仪器由红、绿、蓝三个直径不小于60mm的透光片组成。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#1、红、黄、蓝颜料各1支，调色盘1个及调色笔1支组成。调色盘为塑料，</w:t>
            </w:r>
            <w:r>
              <w:rPr>
                <w:rFonts w:hint="eastAsia" w:ascii="宋体" w:hAnsi="宋体" w:cs="宋体"/>
                <w:i w:val="0"/>
                <w:iCs w:val="0"/>
                <w:color w:val="000000"/>
                <w:sz w:val="21"/>
                <w:szCs w:val="21"/>
                <w:u w:val="none"/>
                <w:lang w:val="en-US" w:eastAsia="zh-CN" w:bidi="ar"/>
              </w:rPr>
              <w:t xml:space="preserve">内含</w:t>
            </w:r>
            <w:r>
              <w:rPr>
                <w:rFonts w:hint="eastAsia" w:ascii="宋体" w:hAnsi="宋体" w:eastAsia="宋体" w:cs="宋体"/>
                <w:i w:val="0"/>
                <w:iCs w:val="0"/>
                <w:color w:val="000000"/>
                <w:sz w:val="21"/>
                <w:szCs w:val="21"/>
                <w:u w:val="none"/>
                <w:lang w:val="en-US" w:eastAsia="zh-CN" w:bidi="ar"/>
              </w:rPr>
              <w:t xml:space="preserve">8个及颜料格和1个混合区。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#1、80-500V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#1、中号，塑料手柄，长度为160mm。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#1、中号，塑料手柄，长度为160mm。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尖嘴</w:t>
            </w:r>
            <w:r>
              <w:rPr>
                <w:rFonts w:hint="eastAsia" w:ascii="宋体" w:hAnsi="宋体" w:eastAsia="宋体" w:cs="宋体"/>
                <w:i w:val="0"/>
                <w:iCs w:val="0"/>
                <w:color w:val="000000"/>
                <w:sz w:val="21"/>
                <w:szCs w:val="21"/>
                <w:u w:val="none"/>
                <w:lang w:val="en-US" w:eastAsia="zh-CN" w:bidi="ar"/>
              </w:rPr>
              <w:t xml:space="preserve">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#1、中号，其他符合执行QB/T 2442.3标准。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投影片绘制工具</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#1、投影片绘制工具由12色油性彩色画笔、塑料三角板、塑料量角器及塑料直尺组成。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#1、纯白色，由布料制成，长度不小于90cm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#1、防强光，上部衰减10倍～20倍，下部透射比≥75％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#1、线织手套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#1、双筒，目镜口径30mm，物镜口径50mm。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天文望远镜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#1.由镜筒、支架、脚架组成；镜筒由主镜和寻星镜两部分组成，两镜筒均为防尘密封式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机械停钟</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#1、教学用电子秒表，采用电子芯片，电池电压为1.5V。外包装应采用防潮、防尘的硬纸盒包装，盒面与盒体采用纽扣式</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数据可精确到0.01s。秒表计时应带有简易计时、分段计时、两段时间显示，且必须带暂停按钮。秒表具有每小时报时，每日定时响闹及自动重响功能，应可显示时间，12及24小时制式，日历、星期、防水，防震结构等功能。应符合 QB/T 1908-93《电子停表》中表1规定的技术要求。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节拍器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#1、电子式、带拾音器、具有节拍、校音、定音等功能。节拍速度：20-200拍/分 ，拍子型：0、1、2、3、4、5、6、7、8、9，音量调节：</w:t>
            </w:r>
            <w:r>
              <w:rPr>
                <w:rFonts w:hint="eastAsia" w:ascii="宋体" w:hAnsi="宋体" w:cs="宋体"/>
                <w:i w:val="0"/>
                <w:iCs w:val="0"/>
                <w:color w:val="000000"/>
                <w:sz w:val="21"/>
                <w:szCs w:val="21"/>
                <w:u w:val="none"/>
                <w:lang w:val="en-US" w:eastAsia="zh-CN" w:bidi="ar"/>
              </w:rPr>
              <w:t xml:space="preserve">旋钮</w:t>
            </w:r>
            <w:r>
              <w:rPr>
                <w:rFonts w:hint="eastAsia" w:ascii="宋体" w:hAnsi="宋体" w:eastAsia="宋体" w:cs="宋体"/>
                <w:i w:val="0"/>
                <w:iCs w:val="0"/>
                <w:color w:val="000000"/>
                <w:sz w:val="21"/>
                <w:szCs w:val="21"/>
                <w:u w:val="none"/>
                <w:lang w:val="en-US" w:eastAsia="zh-CN" w:bidi="ar"/>
              </w:rPr>
              <w:t xml:space="preserve">调节，节拍误差：小于0.5%。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沙漏</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#1、计时仪器，塑料底座，透明玻璃体，内装细砂：尺寸：不小于（14.5*8cm）计时:30分钟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日晷</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由晷针、晷面及支撑底座组成。 结构可分为地平式、赤道式。 性能、结构、外观应符合JY 0001第4、6、7章的有关要求。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双向测力计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#1、双向，测量范围0-5N。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握力计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#1、手握式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#1、由多根弹簧组成。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#1、电源：AC 220V+22V 50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 ；6W日光灯；254nm紫外线灯  ；365nm紫外线灯 ；滤色片：52nm*70nm红、黄、蓝、绿各一片6、荧光片。通过与日光灯的比较，证实紫外线的存在，通过两种波长不同的紫外线灯发出的强烈紫外线，来说明紫外线的荧光、感光、产生臭氧的等性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#1、分红外线发现实验器、红外线性质说明器和红外线控制器三只仪器。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#1、用于观察由炽热的固体或液体发出的光所生成的连续光谱或太阳光谱等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克罗克斯辐射计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#1、底座直径8cm ,球直径9cm.整体高度不小于20cm。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伽利略理想斜面演示器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#1.主要配置及特征参数：由轨道型材底座、面板、导轨支架、塑料轨道、钢球等组成；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#2.轨道型材底座：尺寸规格：≥1200*80*25.4mm（±5mm）；材质工艺：铝，挤压拉模成型；表面处理工艺：黑色阳极氧化处理；功能描述：为塑料轨道提供安装固定的底座；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板面：尺寸规格：≥1200*230*5mm（±5mm）；材质工艺：黑色亚克力，雕刻机一体成型；表面处理工艺：双色精密丝印；功能描述：使得塑料轨道一端可调节不同的高度；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#3.能够完成的教学演示：伽利略理想斜面实验。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#1.主要配置及特征参数：抽气式，由透明筒、密封盖、泡沫柱、杠杆、游码、气阀等组成；能够完成的教学演示：气体对进入其中的物体会产生浮力。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9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#1.基础参数：1）产品材质：ABS工程塑料（坚固耐用，抗摔抗腐蚀）；2）主机：长290mm×宽100mm×高318mm；3）探针长度：120mm×φ5mm（可深入测量不同深度的物体温度）；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#2.温度测量参数：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1）测温范围：-50℃-300℃（满足实验及工业级多种温度测量需求）；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2）精度：±1℃（高精度测量，确保数据准确性）；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3）分辨率：0.1℃（能精确显示细微温度变化）；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4）响应时间：≤2秒（快速获取温度数据，提高工作效率）；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#3.显示屏参数：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1）类型：数码管双显示屏；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2）主屏尺寸：240mm×64mm（清晰显示温度数值）；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3）小屏尺寸：62mm×20mm（清晰监视温度数值）；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4）实时温度值（大字体显示，醒目易读）；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5）测温单位（℃）；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#4.电源参数：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1）供电方式：电源适配器DC-12v；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2）负温度超出量程显示：E50.0；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3)高温度超出量程显示：E300。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体重秤</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#1.量程0kg〜150kg，分度值1kg；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橡胶塞</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#1、0～4号，应选用白色胶塞，质地均匀。</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电吹风</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#1、高转速马达，68米/秒高风速；快速干发智能恒温芯片59db低分贝。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33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6"/>
        <w:gridCol w:w="1351"/>
        <w:gridCol w:w="6615"/>
        <w:gridCol w:w="735"/>
        <w:gridCol w:w="666"/>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33"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AH-劳技教室1</w:t>
            </w:r>
            <w:r/>
          </w:p>
        </w:tc>
      </w:tr>
      <w:tr>
        <w:trPr>
          <w:trHeight w:val="540"/>
        </w:trPr>
        <w:tc>
          <w:tcPr>
            <w:shd w:val="clear" w:color="auto" w:fill="auto"/>
            <w:tcBorders>
              <w:top w:val="single" w:color="000000" w:sz="4" w:space="0"/>
              <w:left w:val="single" w:color="000000" w:sz="4" w:space="0"/>
              <w:bottom w:val="single" w:color="auto" w:sz="4" w:space="0"/>
              <w:right w:val="single" w:color="000000"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auto"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414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AH1-01</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教师操作台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#1.尺寸：2400（长）*700（宽）*850mm（高）；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#2.结构：整体结构设计合理，预留电脑主机、键盘托、实物展台、教师电源位置；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#3.台面：≥38mm厚橡胶木实木板，木质颜色自然，四周边缘机械精打磨没有棱角，台面需刷三层环保透明油漆，使台面更加平整美观；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#4.桌体：采用≥0.8/1.0mm厚镀锌钢板，CO2保护焊焊接，打磨处理，表面经耐酸碱EPOXY粉末烤漆处理，表面硬度附着力、耐腐蚀性符合国家GB/T3668-200X标准；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#5.滑轨：三节重型滚珠滑轨，承重性强，滑动性能良好，无噪音，开合十万次不变形；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#6.铰链：采用自动型110°大伸展角度，锌合金铰链，开合五万次不变形；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#7.拉手：采用桥型金属拉手，造型独特美观；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#8.脚垫：采用柜体内置可调ABS脚垫，保证桌面平整，防水防潮，延长设备使用寿命。</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AH1-02</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#1.尺寸：2400（长）*1200（宽）*780mm（高）；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#2.结构：柜身为悬柜，采用16mm厚E1级优质环保三聚氰胺双饰面板制作。两侧各有4个方格子柜，内侧各有两个对开门储存柜；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#3.台面：≥38mm厚橡胶木实木板，木质颜色自然，四周边缘机械精打磨没有棱角，台面需刷三层环保透明油漆，使台面更加平整美观；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钢架：钢架立柱采用横截面的尺寸≥60mm*40mm优质方钢，壁厚≥1.0mm；框架横梁横截面尺寸≥40mm*40mm，壁厚≥1.0mm。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#5.铰链：采用自动型110°大伸展角度，锌合金铰链，开合五万次不变形；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#6.脚垫：采用ABS注塑脚垫，防水及防潮，有效延长设备寿命。</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84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AH1-03</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凳子（学生用)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#1.尺寸规格：33*24*45（cm）；支架规格：主支撑脚采用40*20方钢管，拉挡为20*20方钢管，管材表面流水线静电喷塑处理，凳架常规为白色或者黑色。</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AH1-04</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多彩边台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#1.规格：800*400*760mm；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#2.基材：优质环保刨花板，游离甲醛释放量4.1mg/100g，经过防潮、防虫、防腐化学处理，桌板厚度为25㎜, 2.0㎜厚的同色PVC封边；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#3.履面：双面贴环保浸渍纸饰面, 色泽匀称，耐磨度高。</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2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AH1-05</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金工材料</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x150x3mm铁板1块，30x200x5mm扁铁1根，D12x200mm铁棒1支，D12x200mm黄铜棒1支，D20x200mm尼龙棒1支，D20x200mm铝棒1支，8支盒装（3-10mm）高速钢麻花钻头1套，24牙12寸钢锯条1盒（50根），3、4、5mm混装铆钉1袋，砂纸2张，38mm油漆刷1把，150ml防锈油1瓶,劳保手套1</w:t>
            </w:r>
            <w:r>
              <w:rPr>
                <w:rFonts w:hint="eastAsia" w:ascii="宋体" w:hAnsi="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lang w:val="en-US" w:eastAsia="zh-CN" w:bidi="ar"/>
              </w:rPr>
              <w:t xml:space="preserve">，30x40cm擦机布2块。</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AH1-06</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铁板、铁皮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#1.150*100*2mm；150*100*0.5mm钻床、台钻配套耗材。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AH1-07</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铝板</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#1.150*100*2mm；钻床、台钻配套耗材。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AH1-08</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铜板</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#1.150*100*1mm；钻床、台钻配套耗材。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AH1-09</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不锈钢板</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#1.150*100*1mm；钻床、台钻配套耗材。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AH1-10</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金属锤设计制作实验套件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#1.铝条30×30×60mm，铝棒φ10×150mm。用于制作小铁锤；可进行划线、锯削、锉削，钻孔、攻丝、套丝、抛光等练习；2个课时完成；难度评定：中。结合配套教材，教学制作实践使用。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AH1-11</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螺母设计制作实验套件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#1.Φ35×12圆钢*1；材料：Q235；用于制作六角螺母，可进行划线、锯削、锉削，钻孔、攻丝、抛光等练习；2个课时完成；锻炼学生动手动脑，手眼协调能力，难度程度：中。结合配套教材，教学制作实践使用。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AH1-12</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风铃制作材料包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#1.风铃制作配件包含10*100mm、10*150mm、10*200mm铝合金管各10根，圆木片60*6mm6片，72号玉线风铃挂绳0.8mm长约900mm一卷；专用纸盒包装。</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AH1-13</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59"/>
        <w:gridCol w:w="6615"/>
        <w:gridCol w:w="750"/>
        <w:gridCol w:w="666"/>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AI-劳技教室2</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33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教师操作台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#1.尺寸：2400（长）*700（宽）*850mm（高）；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#2.结构：整体结构设计合理，预留电脑主机、键盘托、实物展台、教师电源位置；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#3.台面：≥38mm厚橡胶木实木板，木质颜色自然，四周边缘机械精打磨没有棱角，台面需刷三层环保透明油漆，使台面更加平整美观；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#4.桌体：采用≥0.8/1.0mm厚镀锌钢板，CO2保护焊焊接，打磨处理，表面经耐酸碱EPOXY粉末烤漆处理，表面硬度附着力、耐腐蚀性符合国家GB/T3668-200X标准；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#5.滑轨：三节重型滚珠滑轨，承重性强，滑动性能良好，无噪音，开合十万次不变形；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#6.铰链：采用自动型110°大伸展角度，锌合金铰链，开合五万次不变形；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#7.拉手：采用桥型金属拉手，造型独特美观；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#8.脚垫：采用柜体内置可调ABS脚垫，保证桌面平整，防水防潮，延长设备使用寿命。</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2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学生桌</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#1.长1500*宽750*高800mm；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#2.桌面材料:25mm高密复合材料，具有、防油、防水、防腐蚀性能；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#3.桌架材料：桌架均采用1.6mm优质冷轧钢c型折弯焊接而成，加宽桌腿80*40mm,表面喷塑具有防锈、防水等；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#4.抽屉材料：抽屉面板双层1.0mm，其余均为正1.0mm裸板，喷塑后1.2mm，表面经过打磨、磷化、喷塑、高温烘烤而成。</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68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凳子（学生用)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#1.尺寸规格：33*24*45（cm）；支架规格：主支撑脚采用≥40*20方钢管，拉挡为≥20*20方钢管，管材表面流水线静电喷塑处理，凳架常规为白色或者黑色。</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3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边柜（重型工作台）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#1.尺寸：1200（长）*600（宽）*780mm（高）；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#2.台面：40mm厚橡胶木实木板， 四周边缘机械精打磨没有棱角，台面需刷三层环保透明油漆，使台面更加平整美观；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#3.台身：采用16mm环保三聚氰胺板，其截面由硬质PVC利用封边机械高温热压封边；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#4.框架：（1）采用一次成型的铝型材制作，框架立柱为方管，框架的横梁为方管，通过ABS专用连接件组装而成，应保证组装接缝严密，连接牢固，无松动现象。</w:t>
            </w:r>
            <w:r>
              <w:rPr>
                <w:rFonts w:hint="eastAsia" w:ascii="宋体" w:hAnsi="宋体" w:eastAsia="宋体" w:cs="宋体"/>
                <w:i w:val="0"/>
                <w:iCs w:val="0"/>
                <w:color w:val="000000"/>
                <w:sz w:val="21"/>
                <w:szCs w:val="21"/>
                <w:u w:val="none"/>
                <w:lang w:val="en-US" w:eastAsia="zh-CN" w:bidi="ar"/>
              </w:rPr>
              <w:t xml:space="preserve">（2）立柱横截面的尺寸≥52mm*52mm，棱角为椭圆形。框架的横梁横截面的规格：≥35mm*35mm，铝型材壁厚≥1.2mm。（3）连接件：采用自锁式ABS工程塑料一次成型，连接件接入铝合金部分深度不小于38mm；连接件与铝合金立柱紧紧扣牢，可防止直插式连接件在组装中忘记打螺丝或不打螺丝而使台体结构松动现象。（4）铝型材凹槽的宽度、深度应与所采用的柜体板材相匹配，接缝严密，无晃动现象。（5）铝型材表面需经静电喷涂、高温固化成光滑表面。采用一体化台面，上部为抽屉，下部对开门储存柜，台两侧板设置学生实验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#5.铰链：采用自动型110°大伸展角度，锌合金铰链，开合五万次不变形；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#6.拉手：采用C型不锈钢拉手，造型独特美观；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#7.脚垫：规格φ42mm*H65mm，采用ABS工程塑料，模具注塑成形，可调节高低，防水及防潮，有效延长设备寿命。</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3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激光切割雕刻一体机（落地）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#1.激光类型：CO2；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#2.激光功率：60W；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#3.工作区：400mm*600mm；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#4.雕刻速度：1-1200mm/s；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#5.雕刻厚度：1- 5mm；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#6.切割速度：1- 1200mm/s；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#7.切割厚度：1-10mm；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#8.重复定位精度：0.01mm；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#9.最小字符：字母1mm,汉字2mm；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#10.导轨：高精度直线方轨；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#11.驱动方式：数字细分步进驱动器；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#12.定位模式：红光定位；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#13.兼容软件：Artcut/Photoshop/Coreldraw/Auto CAD/Lasercut；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#14.支持图形格式：BMP,GIF,PCX,TGA,PLT,CDR,DXF,AI；</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#15.切割材料：木、竹、玉、大理石、有机玻璃、水晶、塑料、服装、纸张、皮革、橡胶、陶瓷、玻璃等非金属材料；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#16.升降平台：0-300mm电动升降；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#17.冷却方式：水冷。</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082"/>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激光切割机配套课程（中级）</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#1.课程简介：本课程为激光切割中级课程，课程共16课。在中级课程中，学生将基于课程提供的激光切割设计图，进行个性化的调整，并运用学习到的图纸绘图技巧进行重</w:t>
            </w:r>
            <w:r>
              <w:rPr>
                <w:rFonts w:hint="eastAsia" w:ascii="宋体" w:hAnsi="宋体" w:eastAsia="宋体" w:cs="宋体"/>
                <w:i w:val="0"/>
                <w:iCs w:val="0"/>
                <w:color w:val="000000"/>
                <w:sz w:val="21"/>
                <w:szCs w:val="21"/>
                <w:u w:val="none"/>
                <w:lang w:val="en-US" w:eastAsia="zh-CN" w:bidi="ar"/>
              </w:rPr>
              <w:t xml:space="preserve">新设计，完成一系列较为复杂的平面作品。课程分为四个主题模块，模块一中，学生将对激光切割机的操作进行回顾，并巩固安全操作意识，同时学习绘制图纸所需的新技能；模块二主题为创意生活，学生将在这个模块的课程中制作用于日常生活的创意作品，分别为创意书签、创意杯垫、精美的钥匙扣与个性名片；模块三主题为游戏王国，学生将在这个模块的课程中运用激光切割制作与游戏相关的作品，分别为游戏花园、游戏勋章、拼图游戏与中国象棋；模块四主题为动物世界，学生将在这个模块的课程中运用激光切割制作常见的动物作品，分别为小狗、兔子、老虎与大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#2.不少于16课时的课件PPT、教案、学案等教学资源课程目录：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模块一：学习新技能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1)激光切割；2)绘图设计；3)图纸的优化；4)绘图小能手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模块二：创意生活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5)创意书签；6)创意杯垫；7)精美钥匙扣；8)个性名片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模块三：游戏王国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9)游戏花园；10)游戏勋章；11)巧手拼图；12)中国象棋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模块四：动物世界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13)小狗的一天；14)兔子的冒险；15)老虎之王；16)大象的奥秘</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激光切割机耗材包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#1.椴木板尺寸：≥3mm*210*300  共25件；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#2.椴木板尺寸：≥5mm*210*300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#3.奥松板尺寸：≥3mm*210*300 共25件；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#4.奥松板尺寸：≥5mm*210*300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#5.牛皮纸尺寸：≥0.5mm*210*297 共20件；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#6.瓦楞纸尺寸：≥3mm*200*300 共30件；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#7.瓦楞纸尺寸：≥6mm*200*300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#8.榉木板尺寸：≥3mm*100*200 共4件；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#9.透明亚克力尺寸：≥3mm*200*275 共4件；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合计耗材数量超过120件。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45"/>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桌面激光切割机</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#1.产品尺寸：长*宽*高（mm）725*550*260；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#2.加工幅面：长*宽（mm）≥500*300；加工高度可达42mm；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#3.整机功率：110-240V，50~60Hz；平均功率150W；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#4.运行速度及精度：雕刻速度可达1000mm/s；加工精度可达0.01mm；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#5.运动系统及工作平台：基于嵌入式的高性能多轴运动控制系统；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#6.加工模块类型与功率：标配10W蓝光激光模组（可扩展20W或40W激光模组），支持高性能的其他加工头快拆更换；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#7.激光头等级：波长455nm蓝光激光；光斑大小小于等于0.08mm；使用寿命不小于8000h；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#8.加工属性与能力：支持纸张、木材、塑料、皮革等多种耗材的雕刻与切割，支持金属打标，切割厚度不小于15mm（桐木板）；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#9.交互方式：设备内置LCD高清IPS液晶屏，智能触摸按键支持多元交互与控制；摇杆手柄支持离线端高分辨率灵敏微动；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#10.操作方式：支持USB连接电脑在线加工；支持电脑端保存加工文件到SD卡进行离线加工；支持移动端通过Wifi连接设备远程加工；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#11.智能摄像系统：内置1600W像素智能高清广角摄像头，支持摄像头图像定位，支持摄像头拍照提取图像进行可视化加工；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#12.自动吹气系统：自动吹气管路，可接吹气单元加工；支持高压气路外接；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#13.对焦方式：支持激光自动对焦、支持手动对焦，能实现激光焦距自动校准；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#14.多种安全传感器辅助：内置安全状态门智能检测系统、火焰传感器智能检测燃烧状态、三轴加速度传感器智能检测倾斜角、十字红点激光定位加工范围，支持急停操作；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#15.照明系统与显示状态灯：支持工作区全局照明，辅助拍照加工；屏幕指示加工状态与工作进程；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#16.可扩展配套：可扩展配套其他加工头单元、可扩展增高台、可扩展外接气源、可扩展旋转轴单元、可扩展配套烟雾净化系统；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#17.配套软件：搭配轻量级激光软件，软件支持多系统平台；软件内包含布尔运算、形状偏移、阵列等便于设计的基础设计功能；支持激光刀具补偿；支持图片矢量化；支持图片可视化显示；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#18.配套移动端APP：配套自研移动端激光软件，支持移动端加工和操作；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#19.配套课程与教学资源：网上教学资源库，拥有海量教学资源。配备操作入门教学课程，初阶、中阶、高阶等教学课程。</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烟雾净化器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#1.烟雾净化器单元可使用风管连接携式智能激光雕切机，在连接风管后，在加工过程中产生的烟尘将通过净化器处理后再进行外排。实现了加工过程中无异味，净化效果可达99%；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净化器功率不小于200W，工作风压不少于3000PA，风量不小于350m3/h；整机密封静音，风噪小于60db；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#2.滤芯采用三重滤网结构，通过初效滤芯、中效滤芯、高效滤芯三层结构实现加工后气体气味吸附，实现加工无异味，净化效果可达99.9%；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#3.滤芯支持独立更换，更换方便，易处理。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桌面激光切割机耗材包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#1.椴木板尺寸：≥3mm*210*300  共25件；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#2.椴木板尺寸：≥5mm*210*300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#3.奥松板尺寸：≥3mm*210*300 共25件；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#4.奥松板尺寸：≥5mm*210*300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#5.牛皮纸尺寸：≥0.5mm*210*297 共20件；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#6.瓦楞纸尺寸：≥3mm*200*300 共30件；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#7.瓦楞纸尺寸：≥6mm*200*300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#8.榉木板尺寸：≥3mm*100*200 共4件；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#9.透明亚克力尺寸：≥3mm*200*275 共4件；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合计耗材数量超过120件。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3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全金属弓形臂微型安全锯床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#5.经过特殊设计,安全不伤手,就算锯齿碰到皮肤,也只会引起轻微的振动,不会割伤；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#6.可以直线,曲线任意切割；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#7.所有机械部分全部采用金属结构，如主轴箱，中间块，线锯箱底座，线锯箱，线锯台,连接块等都采用全金属结构,结构件和结构件之间利用2个梯形槽对接，用金属梯形连接块。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全金属微型安全金工车床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76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全金属微型安全木工锣床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58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全金属万能摇臂微型安全钻床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#5.配合分度盘使用，可以对圆形工件进行等分钻孔加工；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#6.分度盘上有三组圆周等份分布的小孔，分别是36、40、48个小孔.可以根据实际需要选择分度孔的组别。</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36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全金属万能摇臂微型安全铣床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#5.铣床用的刀具是铣刀，铣刀的侧面和前面都是刀刃，有一定的危险性，所以一定要在专业人士的指导下使用。</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全金属万能摇臂微型安全分度机床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#5.配合分度盘使用，可以对圆形工件进行等分钻孔加工；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#6.分度盘上有三组圆周等份分布的小孔，分别是36、40、48个小孔.可以根据实际需要选择分度孔的组别。</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全金属微型安全磨床（带砂轮功能）</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#5.可以用来抛光、打磨,也可以手持进行各种角度研磨；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#6.中心高25mm，砂纸粒度一般为100＃，可根据不同的工件及加工表面要求选择砂纸。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0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全金属微型手持机床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#1.产品特点：变压器有过热保护。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#2、技术参数：1）马达转速：20000转/分钟，2）输入电压/电流/功率/：12VDC/3A/36W；</w:t>
            </w:r>
            <w:r>
              <w:rPr>
                <w:rStyle w:val="911"/>
                <w:rFonts w:hint="eastAsia" w:ascii="宋体" w:hAnsi="宋体" w:eastAsia="宋体" w:cs="宋体"/>
                <w:sz w:val="21"/>
                <w:szCs w:val="21"/>
                <w:lang w:val="en-US" w:eastAsia="zh-CN" w:bidi="ar"/>
              </w:rPr>
              <w:t xml:space="preserve">3）轮盘直径49、</w:t>
            </w:r>
            <w:r>
              <w:rPr>
                <w:rStyle w:val="925"/>
                <w:rFonts w:hint="eastAsia" w:ascii="宋体" w:hAnsi="宋体" w:eastAsia="宋体" w:cs="宋体"/>
                <w:sz w:val="21"/>
                <w:szCs w:val="21"/>
                <w:lang w:val="en-US" w:eastAsia="zh-CN" w:bidi="ar"/>
              </w:rPr>
              <w:t xml:space="preserve">加工能力：能打磨各种铜和铝等软金属及各类木材，手持工具配备七种打磨工具,打磨范围非常广泛,打磨空间自由度大,若配上钻头则变成手钻,配上砂轮则变成手磨,配上铣刀则变成手铣,变化多样,操作灵活,使用简单。4）采用4节连接块连接，令机件连接更牢固稳定。</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2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大木工车床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#1.大木工车床规格及技术参数：主轴驱动采用无级变速装置，使用直流电机和同步带传动，具有主轴转速显示器、触摸开关，可无级调节主轴转速200-2500rpm；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#2.床身工件最大回转直径180mm；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#3.最大工件长度200mm；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#4.主轴通孔直径20mm；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#5.主轴内孔锥度莫氏3号；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#6.尾轴孔锥度莫氏2号；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#7.包装尺寸≥720*300*290mm；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#8.重量：43Kg；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#9.随机附件：活顶尖（MT2）、卡盘反爪（3只）、钻头、扳手、卡盘钥匙等。</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25"/>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机床基础耗材套装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#1.12生肖各一张；12张空白木板；木棒15*100/50根；木棒25*100/50根；铝棒10条。</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木工工具箱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#1.专用配套工具箱20件套，含18种必备常用工具，方便</w:t>
            </w:r>
            <w:r>
              <w:rPr>
                <w:rFonts w:hint="eastAsia" w:ascii="宋体" w:hAnsi="宋体" w:eastAsia="宋体" w:cs="宋体"/>
                <w:i w:val="0"/>
                <w:iCs w:val="0"/>
                <w:color w:val="000000"/>
                <w:sz w:val="21"/>
                <w:szCs w:val="21"/>
                <w:u w:val="none"/>
                <w:lang w:val="en-US" w:eastAsia="zh-CN" w:bidi="ar"/>
              </w:rPr>
              <w:t xml:space="preserve">使用和管理。工具包括：木工凿子，1把，3/4”；美工刀，1把，包胶；木工锉，1把，8"半圆；剪刀，1把，多用；羊角锤，1把，0.5KG木柄；鸟刨，1把；手推刨，1把；钢角尺，1把，300mm；螺丝刀，1把，6*115+-铬钒钢，芝麻柄；老虎钳，1把，8"黄黑双色柄；卷尺，1把，3m*11.5mm；G形夹，1把，3"；有机玻璃钩刀，1把，钩刀带两把刀片；木工鸡尾锯，1把，锰钢三面齿，磨齿锯；木工铅笔，1支；小水平尺，1把，S93型，塑料，三水泡，45°、90°、180°；墨斗，1个，新型迷你墨斗；磨刀石一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移动工具墙（带挂钩）</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#1.移动式，单面固定；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#2.尺寸：长宽高96*41*191cm；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#3.方孔板厚度：1.4mm；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#4.材料：矩形管+冷轧钢+喷塑烤漆+调节脚轮+胶套；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#5.含单直挂钩20个，双直挂钩20个，零件盒24个，零件盒挂钩24个。</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小手锯</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#1.全长26cm，宽7.5cm，铝合金锯架，烤漆表面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注塑手柄，锯条可拆卸。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小手锯锯条</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#1.长15cm，迷你手锯适用锯条，铬钒钢材质。</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板锯</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#1.全长40cm，黑色漆面锯身，锯片自带25cm辅助测量刻度。</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木工刨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#1.规格：18*6*4cm，青冈木材质，可组装拆卸。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#1.规格：15*2.5*5cm，青冈木材质，可组装拆卸。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凿子</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#1.材质：45#钢+原木；尺寸：19.5cm；8支装木凿刀，优良材质经久耐用，内嵌外固设计，保证凿头不松动不脱落，使用过程更安全更省心；用途：各种木产品加工。</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白乳胶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#1.材质：PVAC；净含量：≤40ml；旋转开启瓶盖，操作简单便捷，可控出胶量，满足不同用胶需求，水溶性白胶可水洗，粘性强，适用多种材质。用途：作品黏贴固定</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墨斗</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#1.材质：竹木；尺寸：长20cm，高5.5cm，线长10m左右，末端系有固定针，</w:t>
            </w:r>
            <w:r>
              <w:rPr>
                <w:rFonts w:hint="eastAsia" w:ascii="宋体" w:hAnsi="宋体" w:cs="宋体"/>
                <w:i w:val="0"/>
                <w:iCs w:val="0"/>
                <w:color w:val="000000"/>
                <w:sz w:val="21"/>
                <w:szCs w:val="21"/>
                <w:u w:val="none"/>
                <w:lang w:val="en-US" w:eastAsia="zh-CN" w:bidi="ar"/>
              </w:rPr>
              <w:t xml:space="preserve">流线型</w:t>
            </w:r>
            <w:r>
              <w:rPr>
                <w:rFonts w:hint="eastAsia" w:ascii="宋体" w:hAnsi="宋体" w:eastAsia="宋体" w:cs="宋体"/>
                <w:i w:val="0"/>
                <w:iCs w:val="0"/>
                <w:color w:val="000000"/>
                <w:sz w:val="21"/>
                <w:szCs w:val="21"/>
                <w:u w:val="none"/>
                <w:lang w:val="en-US" w:eastAsia="zh-CN" w:bidi="ar"/>
              </w:rPr>
              <w:t xml:space="preserve">手柄；用途：传统木工加工过程标记线条。</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雕刻刀</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#1.木工雕刻刀套装；材质：榉木、合金钢；用途：手工雕刻；10只装：平刀、斜刀、半圆刀、细半圆刀、斜角刀、小斜刀、尖刀、开槽刀、小平刀、大圆刀。</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砂纸2</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#1.干膜砂纸 320#；尺寸：200*290mm；用途：对木艺创作制造过程中的工件进行打磨去毛刺，提高作品表面光滑度和质感。</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防护眼镜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#1.PVC材料，透明。</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围裙</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#1.挂肩膀式，浅灰色，加厚涤棉帆布，带杂物兜2个，大小排列插袋7个，可调节肩带，带束腰系带，穿戴简单方便，易清洗，防静电，不沾毛毛、灰尘。</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 </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防尘口罩</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#1.一次性口罩,≥100个。</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防滑手套</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#1.棉线手套。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套袖</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#1.蓝色布质。</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135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急救箱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药品：碘酒（15mL）1瓶（有药品生产许可编号）、红药水（15mL）1瓶（有药品生产许可编号）、双氧水（100mL）1瓶（有药品生产许可编号）、医用酒精（100mL）1瓶（有药品生产许可编号），医用棉签1包（有药品生产许可编号，原包装）、医用棉球1包（有药品生产许可编号，原包装）、无菌纱布（50mm×50mm）1包（有药品生产许可编号，原包装）、胶布（布）1卷、创可贴50张、烫伤药膏1支（有药品生产许可编号），均为保质期内。</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大吸力吸尘器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#1.功率：1200W，坚固钢制壳体，经久耐磨，超大可洗布袋，适用于大房间，配有多种吸头，用途广泛。</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AI1-40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3"/>
        <w:gridCol w:w="1374"/>
        <w:gridCol w:w="6615"/>
        <w:gridCol w:w="750"/>
        <w:gridCol w:w="681"/>
      </w:tblGrid>
      <w:tr>
        <w:trPr>
          <w:trHeight w:val="567" w:hRule="exact"/>
        </w:trPr>
        <w:tc>
          <w:tcPr>
            <w:gridSpan w:val="5"/>
            <w:shd w:val="clear" w:color="auto" w:fill="auto"/>
            <w:tcBorders>
              <w:top w:val="single" w:color="000000" w:sz="4" w:space="0"/>
              <w:left w:val="single" w:color="000000" w:sz="4" w:space="0"/>
              <w:bottom w:val="single" w:color="auto" w:sz="4" w:space="0"/>
              <w:right w:val="single" w:color="000000" w:sz="4" w:space="0"/>
            </w:tcBorders>
            <w:tcW w:w="1036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AJ-劳技教室3 </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AJ1-01</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学生桌</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#1.长1500*宽750*高800mm；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#2.桌面材料:25mm高密复合材料，具有、防油、防水、防腐蚀性能；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#3.桌架材料：桌架均采用1.6mm优质冷轧钢c型折弯焊接而成，加宽桌腿80*40mm,表面喷塑具有防锈、防水等；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#4.抽屉材料：抽屉面板双层1.0mm，其余均为正1.0mm裸板，喷塑后1.2mm，表面经过打磨、磷化、喷塑、高温烘烤而成。</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AJ1-02</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凳子（学生用)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#1.尺寸规格：33*24*45（cm）；支架规格：主支撑脚采用≥40*20方钢管，拉挡为≥20*20方钢管，管材表面流水线静电喷塑处理，凳架常规为白色或者黑色。</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1585"/>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AJ1-03</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边柜（重型工作台）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#1、尺寸：1200（长）*600（宽）*780mm（高）。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#2、台面：40mm厚橡胶木实木板， 四周边缘机械精打磨没有棱角，台面需刷三层环保透明油漆，使台面更加平整美观。</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#3、台身：采用16mm环保三聚氰胺板，其截面由硬质PVC利用封边机械高温热压封边。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框架：（1）采用一次成型的铝型材制作，框架立柱为方管，框架的横梁为方管，通过ABS专用连接件组装而成，应保证组装接缝严密，连接牢固，无松动现象。（2）立柱横截面的尺寸不小于52mm×52mm，棱角为椭圆形。框架的横梁</w:t>
            </w:r>
            <w:r>
              <w:rPr>
                <w:rFonts w:hint="eastAsia" w:ascii="宋体" w:hAnsi="宋体" w:cs="宋体"/>
                <w:i w:val="0"/>
                <w:iCs w:val="0"/>
                <w:color w:val="000000"/>
                <w:sz w:val="21"/>
                <w:szCs w:val="21"/>
                <w:u w:val="none"/>
                <w:lang w:val="en-US" w:eastAsia="zh-CN" w:bidi="ar"/>
              </w:rPr>
              <w:t xml:space="preserve">横截面</w:t>
            </w:r>
            <w:r>
              <w:rPr>
                <w:rFonts w:hint="eastAsia" w:ascii="宋体" w:hAnsi="宋体" w:eastAsia="宋体" w:cs="宋体"/>
                <w:i w:val="0"/>
                <w:iCs w:val="0"/>
                <w:color w:val="000000"/>
                <w:sz w:val="21"/>
                <w:szCs w:val="21"/>
                <w:u w:val="none"/>
                <w:lang w:val="en-US" w:eastAsia="zh-CN" w:bidi="ar"/>
              </w:rPr>
              <w:t xml:space="preserve">不小于35mm×35mm，铝型材壁厚≥1.2mm。（3）连接件：采用自锁式ABS工程塑料一次成型，连接件接入铝合金部分深度不小于38mm；连接件与铝合金立柱紧紧扣牢，可防止直插式连接件在组装中忘记打螺丝或不打螺丝而使台体结构松动现象。（4）铝型材凹槽的宽度、深度应与所采用的柜体板材相匹配，接缝严密，无晃动现象。（5）铝型材表面需经静电喷涂、高温固化成光滑表面。采用一体化台面，上部为抽屉，下部对开门储存柜，台两侧板设置学生实验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#5、铰链：采用自动型110°大伸展角度，锌合金铰链，开合五万次不变形。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6、拉手：采用C型不锈钢拉手，造型独特美观。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7、脚垫：规格φ42mm*H65mm，采用ABS工程塑料，模具注塑成形，可调节高低，防水及防潮，有效延长设备寿命。</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21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AJ1-04</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3D打印机</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#1.成型尺寸≥200*200*200mm;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#2.打印技术 熔融沉积型（FDM）;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#3.层分辨率 0.05-0.3mm;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#4.定位精度 ≤0.0125mm;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#5.是否有空气过滤系统: 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#6.断电续打: 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#7.料用完暂停报警: 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#8.喷头数量:  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#9.打印头: 单色打印;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#10.打印速度: 30-150mm/s;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#11.结构: 非全封闭整机;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#12.储料箱: 悬挂式;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#13.照明功能: 内置照明LED照明;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#14.挤出头直径 可选: 0.3 , 0.4，0.5mm;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#15.挤出头工作温度 Max 260℃;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#16.显示屏幕特性 3.5寸全彩触摸屏;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#17.中央处理器（CPU） 32位ARM CPU单片机;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#18.外储存器 支持SD卡拔插及USB连接;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#19.电源要求 AC100v-AC240v 50Hz/60Hz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#20.操作系统支持 Windows,Linux,MAC;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#21.文件格式支持 STL、OBJ;</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#22.机器外观表面处理 钣金高温烤漆形成独特的外观;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#23.机箱尺寸 ≥390*370*435mm;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70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AJ1-05</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三维设计软件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#1.曲线建模，支持导入平面图片建模、文字建模、自定义绘制图形建模等多种建模方式。提供平面绘图工具，比如直线、折线、曲线及矩形工具，用于设计复杂线条。提供10种以上的艺术曲线，比如</w:t>
            </w:r>
            <w:r>
              <w:rPr>
                <w:rFonts w:hint="eastAsia" w:ascii="宋体" w:hAnsi="宋体" w:cs="宋体"/>
                <w:i w:val="0"/>
                <w:iCs w:val="0"/>
                <w:color w:val="000000"/>
                <w:sz w:val="21"/>
                <w:szCs w:val="21"/>
                <w:u w:val="none"/>
                <w:lang w:val="en-US" w:eastAsia="zh-CN" w:bidi="ar"/>
              </w:rPr>
              <w:t xml:space="preserve">心形线</w:t>
            </w:r>
            <w:r>
              <w:rPr>
                <w:rFonts w:hint="eastAsia" w:ascii="宋体" w:hAnsi="宋体" w:eastAsia="宋体" w:cs="宋体"/>
                <w:i w:val="0"/>
                <w:iCs w:val="0"/>
                <w:color w:val="000000"/>
                <w:sz w:val="21"/>
                <w:szCs w:val="21"/>
                <w:u w:val="none"/>
                <w:lang w:val="en-US" w:eastAsia="zh-CN" w:bidi="ar"/>
              </w:rPr>
              <w:t xml:space="preserve">、肾形线等；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#2.3D浮雕建模，支持导入平面图片、文字以及自定义绘制图形，并能一键式生成可制造的立体透光浮雕模型。生成的立体浮雕模型类型包括: 平面型、圆柱面型等，并可选择内向、外向模式；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#3.参数建模，支持全参数交互式驱动建模方式，用户可修改尺寸、角度等参数，改变模型的大小、位置、姿势，生成新的模型；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#4.一键平置，在移动模型的过程中，可以一键将模型移动到水平面上，方便切片；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#5.自动放平，在旋转模型的过程中，可以一键将模型放平，软件自动为模型找到合适的旋转角度进行旋转，方便切片；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#6.文字建模，支持输入文字，即可生成立体文字模型，支持主流字体，软件内置10种以上字体，生成的3D文字可进行竖直弯曲和水平弯曲，并且可以调整文字的弯曲半径和角度；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#7.曲面建模，支持挤出、移动长方体盒子的面生成多面体，通过细分曲面的方式生成3D模型。支持五分法分割面，生成新的面。支持移动多面体的边，改变多面体的形状。包含球、圆柱、正方体3种内置基本体；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#8.拉伸建模，支持从二维封闭曲线垂直拉伸得到3D模型，导入图片作为二维草图的绘制向导，并内置网格线作为绘制参考；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#9.旋转建模，支持从二维曲线沿轴旋转得到3D模型，导入图片作为二维草图的绘制向导，并内置网格线作为参考线，可人工设置曲线是否封闭。软件可自动对曲线进行补全，从而生成旋转体模型；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#10.切片软件集成，支持切片功能，设置层厚、壁厚、填充密度、打印速度等参数，从3D模型计算得到打印机的执行文件，并支持单层/多层/全部等模式可视化查看打印路径。支持输出切片gcode文件。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97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AJ1-06</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三维设计课程</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#1.不少于32节课程，每节课程内容包含教案、学案、课件、3D模型文件等资料；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课程简介：通过本课程，学生将学习如何运用三维设计软件进行简单而实用的立体设计，并将这些设计通过3D打印机实现真实物体的制作。课程注重培养学生的创造力和实践能力，激发他们的空间想象力和解决问题的能力。通过设计和制作过程，学生将有机会体验到先进的制造技术，并在实践中掌握基本的3D打印技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#3.入门课程：123D世界、虫虫世界、定海神针、时空飞船、神笔马良、01幸运数、我的魔法帽、元素精灵、音乐精灵、七彩心情、图形特工、跟随大脚板、重组DNA、齿轮转动、轮滑模型、我的探险号；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#4.进阶课程：3D像素、我的房子、庄园围栏、我的庄园、小牛牟牟、小猪哼哼、六角凉亭、楚河汉界、先生请坐、空间艺术、松柏长青、豌豆射手、阳光笑脸、</w:t>
            </w:r>
            <w:r>
              <w:rPr>
                <w:rFonts w:hint="eastAsia" w:ascii="宋体" w:hAnsi="宋体" w:cs="宋体"/>
                <w:i w:val="0"/>
                <w:iCs w:val="0"/>
                <w:color w:val="000000"/>
                <w:sz w:val="21"/>
                <w:szCs w:val="21"/>
                <w:u w:val="none"/>
                <w:lang w:val="en-US" w:eastAsia="zh-CN" w:bidi="ar"/>
              </w:rPr>
              <w:t xml:space="preserve">一枝玫瑰</w:t>
            </w:r>
            <w:r>
              <w:rPr>
                <w:rFonts w:hint="eastAsia" w:ascii="宋体" w:hAnsi="宋体" w:eastAsia="宋体" w:cs="宋体"/>
                <w:i w:val="0"/>
                <w:iCs w:val="0"/>
                <w:color w:val="000000"/>
                <w:sz w:val="21"/>
                <w:szCs w:val="21"/>
                <w:u w:val="none"/>
                <w:lang w:val="en-US" w:eastAsia="zh-CN" w:bidi="ar"/>
              </w:rPr>
              <w:t xml:space="preserve">、汽车滴滴、新年礼物。</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AJ1-07</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3D打印耗材</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#1.耗材直径 1.75mm；规格 1卷1KG；包装重量 1.4kg；可选颜色 11色，红色、天蓝色、象牙白、苹果绿、橙色、金色、肤色、黑色、银色、鲜粉红、黄色。</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AJ1-08</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光固化3D打印耗材</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#1.硬度：79-88；拉伸强度：64-72Mpa；断裂伸长率：8-13%；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#2.规格：1kg；热变形温度：44-47℃；吸水率：0.9-2.5%；打印层厚：0.05mm/层；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#3.底部层数：3-5层；底层曝光时间：30S/层；曝光时间：7s/层；颜色：灰、白、黑、透明、透明蓝、透明绿、透明红。</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AJ1-09</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3D模型资源库</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#1.包含教学、创意类模型不少于500种。</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AJ1-10</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3D打印工具包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#1.小铲刀、斜口钳、3D调平工具、料架固定支架，3D打印机常用易损件、U盘、读卡器、PLA导线管、常用内六角套装。</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AJ1-11</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3D教学模型</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#1.包含了20种教学相关的3D打印成品，便于帮助老师在教学中让学生更好的了解3D打印技术，激发学生的创造思维。</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AJ1-12</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59"/>
        <w:gridCol w:w="6630"/>
        <w:gridCol w:w="735"/>
        <w:gridCol w:w="681"/>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10363"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AK-劳技教室4（创客教室）</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894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1、基础设备</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6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AK1-01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采用承重部位1.2mm其他1.0mm的优质冷轧钢板，讲桌上下层采用分体式设计；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#2.讲桌附安全锁,闭合尺寸约: (长) 1150 (宽)650 (高)920 MM。台面采用15mm厚度防滑痕黄色木纹防火板，防静电；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17-21寸显示器翻转方式打开，根据不同身高的老师任意调节显示器角度，键盘翻转式打开装配两个铰链提高使用寿命。键盘、中控、鼠标设计成隐藏式操作时在同一界面。关闭后所有设备都隐藏在讲台内。便于操作使用，提供橡木扶手长度*宽度*厚度约(尺寸600mm*50mm*25mm) ，方便使用者握扶；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#4.讲桌正前方梯子型且带L形实木板作为装饰，展台右侧抽拉。便于操作使用。桌底部配置接地线连接头以防漏电与静电，讲台背面留音响孔，讲台内置布线系统；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#5.讲桌下体前后设计，内可放置主机，并配独立的储物空间，一把钥匙控制所有锁。</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AK1-02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创客活动桌</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#1.木板打底、水曲柳饰面. 尺寸约为：2000mm*1000mm*750mm 。</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AK1-03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教师转椅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#1.依照人体工程学设计，面料为优质网布，下座采用高密度泡棉，阻燃、舒适、回弹性好；钢制五星脚电镀，气动升降、有扶手。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22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AK1-04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#1.规格：Φ300*450-500mm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#2.凳面材质：采用环保型ABS改性塑料一次性注塑成型；尺寸：30cm×3cm ；表面细纹咬花，防滑不发光；                                                                                 </w:t>
            </w:r>
            <w:r>
              <w:rPr>
                <w:rFonts w:hint="eastAsia" w:ascii="宋体" w:hAnsi="宋体" w:eastAsia="宋体" w:cs="宋体"/>
                <w:i w:val="0"/>
                <w:iCs w:val="0"/>
                <w:color w:val="000000"/>
                <w:sz w:val="21"/>
                <w:szCs w:val="21"/>
                <w:u w:val="none"/>
                <w:lang w:val="en-US" w:eastAsia="zh-CN" w:bidi="ar"/>
              </w:rPr>
              <w:t xml:space="preserve">                                                                                                                                                                                  #3.脚钢架材质及形状：椭圆形无缝钢管；尺寸:17×34×1.7mm ；全圆满焊接完成，结构牢固，经高温粉体烤漆处理，长时间使用也不会产生表面烤漆剥落现象；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#4.脚垫材质：采用PP加耐磨纤维质塑料，实心</w:t>
            </w:r>
            <w:r>
              <w:rPr>
                <w:rFonts w:hint="eastAsia" w:ascii="宋体" w:hAnsi="宋体" w:cs="宋体"/>
                <w:i w:val="0"/>
                <w:iCs w:val="0"/>
                <w:color w:val="000000"/>
                <w:sz w:val="21"/>
                <w:szCs w:val="21"/>
                <w:u w:val="none"/>
                <w:lang w:val="en-US" w:eastAsia="zh-CN" w:bidi="ar"/>
              </w:rPr>
              <w:t xml:space="preserve">倒钩</w:t>
            </w:r>
            <w:r>
              <w:rPr>
                <w:rFonts w:hint="eastAsia" w:ascii="宋体" w:hAnsi="宋体" w:eastAsia="宋体" w:cs="宋体"/>
                <w:i w:val="0"/>
                <w:iCs w:val="0"/>
                <w:color w:val="000000"/>
                <w:sz w:val="21"/>
                <w:szCs w:val="21"/>
                <w:u w:val="none"/>
                <w:lang w:val="en-US" w:eastAsia="zh-CN" w:bidi="ar"/>
              </w:rPr>
              <w:t xml:space="preserve">式一体射出成型；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#5.凳面可通过旋转螺杆来升降凳子高度,可调高度5cm。</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35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AK1-05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收纳柜</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#1.尺寸：板式：1320*400*900mm±10mm；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#2.材质：环保三聚氰胺饰面刨花板+教具盒；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#3.工艺：采用E1级18mm厚三聚氰胺饰面刨花板，断面采用优质PVC封边带高温热熔制作。五金件采用液压铰链；教具盒材质：PP材质,教具盒尺寸420×290×100mm（±10mm），12只。钢制导轨，导轨边缘外露面光滑圆润；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#4.功能：配置PP收纳盒及储物柜，可收纳各种教学用具。</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894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2、人工智能学习及应用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199"/>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AK2-01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掌控板学习套装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#1.双核处理器（一核处理高速连接，一核独立应用开发）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#2.主频≥240MHz时钟频率,SRAM≥520KB,FLASH≥8MB,Wi-Fi标准：FCC/CE/TELEC/KCC;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#3.Wi-Fi协议:802.11b/g/n/d/e/i/k/r(802.11n，最高速度150Mbps)，A-MPDU和A-MSDU聚合，支持0.4us防护间隔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#4.频率范围:2.4~2.5GHZ,蓝牙协议:符合蓝牙v4.2 BR/EDR和BLE标准,蓝牙音频:CASD和SBC音频低功耗10uA。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#5.供电方式:USBType-C，工作电压:3.3V，工作电流:100mA。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#6.支持两大编程软件：mPython图形化编程+Mind+图形化编程。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套装包含：掌控版≥2个，数据线≥2根，射频传感器（含白卡+复旦卡）≥1个，土壤湿度传感器≥2个，温湿度传感器≥1个，PH传感器≥1个，杜邦线≥2组，掌控板扩展板≥2个，双节电池+充电器+数据线≥2个，视觉摄像头≥1个，水泵(含水管）≥2个，烟雾传感器≥1个，TT马达(直流电机)≥1个，北斗模块(乐动)≥1个，超声波传感器≥2个，土壤检测片≥2个。</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894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3、人工智能竞赛套装</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AK3-01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ff"/>
                <w:sz w:val="21"/>
                <w:szCs w:val="21"/>
                <w:highlight w:val="none"/>
                <w:u w:val="none"/>
                <w:lang w:val="en-US" w:eastAsia="zh-CN" w:bidi="ar"/>
              </w:rPr>
              <w:t xml:space="preserve">科创套装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一、基本参数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#1.积木收纳盒尺寸：438mmx323mmx174mm（内含根据颜色分类的分类托盘，简化拼搭流程，便于课堂管理）；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#2.积木颗粒数：共包含</w:t>
            </w:r>
            <w:r>
              <w:rPr>
                <w:rFonts w:hint="eastAsia" w:ascii="宋体" w:hAnsi="宋体" w:eastAsia="宋体" w:cs="宋体"/>
                <w:i w:val="0"/>
                <w:iCs w:val="0"/>
                <w:color w:val="0000ff"/>
                <w:sz w:val="21"/>
                <w:szCs w:val="21"/>
                <w:highlight w:val="none"/>
                <w:u w:val="none"/>
                <w:lang w:val="en-US" w:eastAsia="zh-CN" w:bidi="ar"/>
              </w:rPr>
              <w:t xml:space="preserve">528块积木</w:t>
            </w:r>
            <w:r>
              <w:rPr>
                <w:rFonts w:hint="eastAsia" w:ascii="宋体" w:hAnsi="宋体" w:eastAsia="宋体" w:cs="宋体"/>
                <w:i w:val="0"/>
                <w:iCs w:val="0"/>
                <w:color w:val="000000"/>
                <w:sz w:val="21"/>
                <w:szCs w:val="21"/>
                <w:highlight w:val="none"/>
                <w:u w:val="none"/>
                <w:lang w:val="en-US" w:eastAsia="zh-CN" w:bidi="ar"/>
              </w:rPr>
              <w:t xml:space="preserve">颗粒（除常见机械积木颗粒及补充包外，还包括带3个十字轴孔的2*4积木连接器，11*15蓝色中等机械框架，7*11品红色小型机械框架，新款车轮，滚珠和转向轮，可以多方向搭建的“饼干式"积木颗粒，用于管理多条线缆的线夹，11*19黄色机械底座，能够实现全新角度传动的双锥齿轮等特殊件颗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#3.智能硬件：含六个I/O端口的智能集线器*1（内置 5x5 LED矩阵灯，可编程定制图案显示，12bit、16KHz单声道扬声器，六轴陀螺仪传感器包括三轴加速器（无漂移和最小延迟）、三轴陀螺仪， 可感应陀螺仪模式、加速器/倾斜模式、手势如轻击、自由下落、晃动。６个LPF2连接端口，端口速率115kb，EF两个端口默认为高速端口。三可交互按钮导航。3</w:t>
            </w:r>
            <w:r>
              <w:rPr>
                <w:rFonts w:hint="eastAsia" w:ascii="宋体" w:hAnsi="宋体" w:eastAsia="宋体" w:cs="宋体"/>
                <w:i w:val="0"/>
                <w:iCs w:val="0"/>
                <w:color w:val="000000"/>
                <w:sz w:val="21"/>
                <w:szCs w:val="21"/>
                <w:highlight w:val="none"/>
                <w:u w:val="none"/>
                <w:lang w:val="en-US" w:eastAsia="zh-CN" w:bidi="ar"/>
              </w:rPr>
              <w:t xml:space="preserve">2M内存，可存储程序、声音。两种连接方式：USB连接、低能耗蓝牙模块无线连接，支持串联模式和下载模式。嵌入式操作系统：Micro Python。100MHz，320KB RAM，1M flash处理。 兼容计算机和平板电脑），锂离子可充电电池*1（电池容量：2000 mAh，≥500次。可通过微型 USB 线缆在智能集线器内充电，LED指示灯提示充电状态，3小时充满。无需工具，拆卸简易），中型电机*2（有绝对零度位置/初始点位置；内置集成式转速传感器，具备失速检测功能，分辨率360cpr，传感器输入精度±1</w:t>
            </w:r>
            <w:r>
              <w:rPr>
                <w:rFonts w:hint="eastAsia" w:ascii="宋体" w:hAnsi="宋体" w:eastAsia="宋体" w:cs="宋体"/>
                <w:i w:val="0"/>
                <w:iCs w:val="0"/>
                <w:color w:val="000000"/>
                <w:sz w:val="21"/>
                <w:szCs w:val="21"/>
                <w:highlight w:val="none"/>
                <w:u w:val="none"/>
                <w:lang w:val="en-US" w:eastAsia="zh-CN" w:bidi="ar"/>
              </w:rPr>
              <w:t xml:space="preserve">度，电机可控精度±3度，更新速率100Hz，实现±180度高精度绝对定位功能。扭矩3.5~28Ncm， 转速：135~185RPM，输出电压：5~9V。线缆长度：25cm），大型电机*1（专为大功率、高扭矩设计。有绝对零度位置/初始点位置；内置集成式转速传感器，具备失速检测功能，分辨率360cpr，传感器输入精度±1度，电机可控精度±3度，更新速率100Hz，可实现真正的直线控制。扭矩8~25Ncm， 转速：135~175RPM，输出电压：5~9V。线缆长度：25cm），颜色传感器*1（可感应RGB,HSV</w:t>
            </w:r>
            <w:r>
              <w:rPr>
                <w:rFonts w:hint="eastAsia" w:ascii="宋体" w:hAnsi="宋体" w:eastAsia="宋体" w:cs="宋体"/>
                <w:i w:val="0"/>
                <w:iCs w:val="0"/>
                <w:color w:val="0000ff"/>
                <w:sz w:val="21"/>
                <w:szCs w:val="21"/>
                <w:highlight w:val="none"/>
                <w:u w:val="none"/>
                <w:lang w:val="en-US" w:eastAsia="zh-CN" w:bidi="ar"/>
              </w:rPr>
              <w:t xml:space="preserve">以及积木</w:t>
            </w:r>
            <w:r>
              <w:rPr>
                <w:rFonts w:hint="eastAsia" w:ascii="宋体" w:hAnsi="宋体" w:eastAsia="宋体" w:cs="宋体"/>
                <w:i w:val="0"/>
                <w:iCs w:val="0"/>
                <w:color w:val="000000"/>
                <w:sz w:val="21"/>
                <w:szCs w:val="21"/>
                <w:highlight w:val="none"/>
                <w:u w:val="none"/>
                <w:lang w:val="en-US" w:eastAsia="zh-CN" w:bidi="ar"/>
              </w:rPr>
              <w:t xml:space="preserve">8种颜色，Python编程下可读取具体RGB值。采样率：100</w:t>
            </w:r>
            <w:r>
              <w:rPr>
                <w:rFonts w:hint="eastAsia" w:ascii="宋体" w:hAnsi="宋体" w:cs="宋体"/>
                <w:i w:val="0"/>
                <w:iCs w:val="0"/>
                <w:color w:val="000000"/>
                <w:sz w:val="21"/>
                <w:szCs w:val="21"/>
                <w:highlight w:val="none"/>
                <w:u w:val="none"/>
                <w:lang w:val="en-US" w:eastAsia="zh-CN" w:bidi="ar"/>
              </w:rPr>
              <w:t xml:space="preserve">Hz</w:t>
            </w:r>
            <w:r>
              <w:rPr>
                <w:rFonts w:hint="eastAsia" w:ascii="宋体" w:hAnsi="宋体" w:eastAsia="宋体" w:cs="宋体"/>
                <w:i w:val="0"/>
                <w:iCs w:val="0"/>
                <w:color w:val="000000"/>
                <w:sz w:val="21"/>
                <w:szCs w:val="21"/>
                <w:highlight w:val="none"/>
                <w:u w:val="none"/>
                <w:lang w:val="en-US" w:eastAsia="zh-CN" w:bidi="ar"/>
              </w:rPr>
              <w:t xml:space="preserve">。最佳读取距离：16mm。还可测量从黑暗至强太阳光范围内的反射光和环境光强度，数值以0-10</w:t>
            </w:r>
            <w:r>
              <w:rPr>
                <w:rFonts w:hint="eastAsia" w:ascii="宋体" w:hAnsi="宋体" w:eastAsia="宋体" w:cs="宋体"/>
                <w:i w:val="0"/>
                <w:iCs w:val="0"/>
                <w:color w:val="000000"/>
                <w:sz w:val="21"/>
                <w:szCs w:val="21"/>
                <w:highlight w:val="none"/>
                <w:u w:val="none"/>
                <w:lang w:val="en-US" w:eastAsia="zh-CN" w:bidi="ar"/>
              </w:rPr>
              <w:t xml:space="preserve">0%记。 传感器3个LED灯可独立控制，输出4000K色温白光，输出功率控制范围为0-100%，增量为1%。线缆长度：25cm），距离传感器*1（感应距离：5cm~200cm。感应角度：±35度。传感器采样率：100Hz，带超声波功能。有４个可通过编程独立控制的LED4000K色温白光灯，输出功率0~100%。背部内置８针转接口，可外接第三方传感器、电路板和 DIY 硬件。线缆长度：25cm），力传感器*1（ 能检测到触碰、轻拍、按压的力并转化为数字信号，能测量力的大小，结果准确可重复。线缆长度：25cm；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#4.触摸：激活力0.5~1牛顿±10%，激活区0-2mm，固件临界点1mm±0.5mm，传感器输入采用二进制 (1=激活或0=未激活)；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#5.轻拍：单击、快速拍打、长按，激活力0.5~1牛顿±10%，激活区0-2mm，固件临界点1mm±0.5mm，传感器输入采用二进制 (1=激活或0=未激活)；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 按压：激活力2.5~10牛顿，激活区2-8mm，传感器输出分辨率0.1牛顿，传感器输出限制为固定最大输出值10牛顿，传感器输出精度±-0.65牛顿；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#7.微型USB连接器线缆*1（可将兼容的计算机和平板电脑与智能集线器连接起来，执行数据传输、固件更新等任务，还可作为智能集线器的充电线缆）；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ff"/>
                <w:sz w:val="21"/>
                <w:szCs w:val="21"/>
                <w:highlight w:val="none"/>
                <w:u w:val="none"/>
                <w:lang w:val="en-US" w:eastAsia="zh-CN" w:bidi="ar"/>
              </w:rPr>
              <w:t xml:space="preserve">#8.应用程序：App 应用程序</w:t>
            </w:r>
            <w:r>
              <w:rPr>
                <w:rFonts w:hint="eastAsia" w:ascii="宋体" w:hAnsi="宋体" w:eastAsia="宋体" w:cs="宋体"/>
                <w:i w:val="0"/>
                <w:iCs w:val="0"/>
                <w:color w:val="000000"/>
                <w:sz w:val="21"/>
                <w:szCs w:val="21"/>
                <w:highlight w:val="none"/>
                <w:u w:val="none"/>
                <w:lang w:val="en-US" w:eastAsia="zh-CN" w:bidi="ar"/>
              </w:rPr>
              <w:t xml:space="preserve">（面向学生的 App 应用程序，包含所有学习活动及搭建手册），可在同一个应用程序内实现图形化编程以及Python文本编程自如切换，无需额外的SD卡。 除度数、圈数和时间之外，移动编程模块可以使用厘米作为输入单位，精准控制机器人在场地上的移动。兼容不同的平台（安卓、苹果、微软、谷歌等）；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#9.编程语言：图标模块图形化编程、文字模块图形化编程、Python编程；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二、配套服务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#1.课程：150+课时教学内容，涉及计算思维、工程设计技能、数据收集和处理、物理科学、沟通与协作、复杂问题解决等多领域多项技能，提供入门材料、课程计划、学生学习单、评估工具、融合式学习资料；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#2.教师培训：提供产品入门、课程教学、教学理念和方法等多模块系统培训资料，助力老师顺利开展STEAM教学。</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476"/>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科创套装主题扩展包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一、基本参数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#1.包装盒尺寸：382mmx262mx94mm（内含根据颜色分类的分类托盘，简化拼搭流程，便于课堂管理）；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#2.积木颗粒数：共包含603 块</w:t>
            </w:r>
            <w:r>
              <w:rPr>
                <w:rFonts w:hint="eastAsia" w:ascii="宋体" w:hAnsi="宋体" w:eastAsia="宋体" w:cs="宋体"/>
                <w:i w:val="0"/>
                <w:iCs w:val="0"/>
                <w:color w:val="0000ff"/>
                <w:sz w:val="21"/>
                <w:szCs w:val="21"/>
                <w:highlight w:val="none"/>
                <w:u w:val="none"/>
                <w:lang w:val="en-US" w:eastAsia="zh-CN" w:bidi="ar"/>
              </w:rPr>
              <w:t xml:space="preserve">积木</w:t>
            </w:r>
            <w:r>
              <w:rPr>
                <w:rFonts w:hint="eastAsia" w:ascii="宋体" w:hAnsi="宋体" w:eastAsia="宋体" w:cs="宋体"/>
                <w:i w:val="0"/>
                <w:iCs w:val="0"/>
                <w:color w:val="000000"/>
                <w:sz w:val="21"/>
                <w:szCs w:val="21"/>
                <w:u w:val="none"/>
                <w:lang w:val="en-US" w:eastAsia="zh-CN" w:bidi="ar"/>
              </w:rPr>
              <w:t xml:space="preserve">颗粒（除常见机械积木颗粒外，还包含专为赛事活动设计的零件，如大型车轮、齿条、独特的创客底板等，以便于搭建更大型的赛事模型或连接第三方芯片）；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#3.智能硬件（</w:t>
            </w:r>
            <w:r>
              <w:rPr>
                <w:rFonts w:hint="eastAsia" w:ascii="宋体" w:hAnsi="宋体" w:eastAsia="宋体" w:cs="宋体"/>
                <w:i w:val="0"/>
                <w:iCs w:val="0"/>
                <w:color w:val="0000ff"/>
                <w:sz w:val="21"/>
                <w:szCs w:val="21"/>
                <w:u w:val="none"/>
                <w:lang w:val="en-US" w:eastAsia="zh-CN" w:bidi="ar"/>
              </w:rPr>
              <w:t xml:space="preserve">与科创</w:t>
            </w:r>
            <w:r>
              <w:rPr>
                <w:rFonts w:hint="eastAsia" w:ascii="宋体" w:hAnsi="宋体" w:eastAsia="宋体" w:cs="宋体"/>
                <w:i w:val="0"/>
                <w:iCs w:val="0"/>
                <w:color w:val="000000"/>
                <w:sz w:val="21"/>
                <w:szCs w:val="21"/>
                <w:u w:val="none"/>
                <w:lang w:val="en-US" w:eastAsia="zh-CN" w:bidi="ar"/>
              </w:rPr>
              <w:t xml:space="preserve">套装硬件搭配使用）：大型电机*1（专为大功率、高扭矩设计。有绝对零度位置/初始点位置；内置集成式转速传感器，具备失速检测功能，分辨率360cpr，传感器输入精度±1度，电机可控精度±3度，更新速率100Hz，可实现真正的直线控制。扭矩8~25Ncm， 转速：135~175RPM，输出电压：5~9V。线缆长度：25cm），颜色传感器*1（可感</w:t>
            </w:r>
            <w:r>
              <w:rPr>
                <w:rFonts w:hint="eastAsia" w:ascii="宋体" w:hAnsi="宋体" w:eastAsia="宋体" w:cs="宋体"/>
                <w:i w:val="0"/>
                <w:iCs w:val="0"/>
                <w:color w:val="000000"/>
                <w:sz w:val="21"/>
                <w:szCs w:val="21"/>
                <w:highlight w:val="none"/>
                <w:u w:val="none"/>
                <w:lang w:val="en-US" w:eastAsia="zh-CN" w:bidi="ar"/>
              </w:rPr>
              <w:t xml:space="preserve">应RGB,HSV以及</w:t>
            </w:r>
            <w:r>
              <w:rPr>
                <w:rFonts w:hint="eastAsia" w:ascii="宋体" w:hAnsi="宋体" w:eastAsia="宋体" w:cs="宋体"/>
                <w:i w:val="0"/>
                <w:iCs w:val="0"/>
                <w:color w:val="0000ff"/>
                <w:sz w:val="21"/>
                <w:szCs w:val="21"/>
                <w:highlight w:val="none"/>
                <w:u w:val="none"/>
                <w:lang w:val="en-US" w:eastAsia="zh-CN" w:bidi="ar"/>
              </w:rPr>
              <w:t xml:space="preserve">积木</w:t>
            </w:r>
            <w:r>
              <w:rPr>
                <w:rFonts w:hint="eastAsia" w:ascii="宋体" w:hAnsi="宋体" w:eastAsia="宋体" w:cs="宋体"/>
                <w:i w:val="0"/>
                <w:iCs w:val="0"/>
                <w:color w:val="000000"/>
                <w:sz w:val="21"/>
                <w:szCs w:val="21"/>
                <w:highlight w:val="none"/>
                <w:u w:val="none"/>
                <w:lang w:val="en-US" w:eastAsia="zh-CN" w:bidi="ar"/>
              </w:rPr>
              <w:t xml:space="preserve">8种颜色</w:t>
            </w:r>
            <w:r>
              <w:rPr>
                <w:rFonts w:hint="eastAsia" w:ascii="宋体" w:hAnsi="宋体" w:eastAsia="宋体" w:cs="宋体"/>
                <w:i w:val="0"/>
                <w:iCs w:val="0"/>
                <w:color w:val="000000"/>
                <w:sz w:val="21"/>
                <w:szCs w:val="21"/>
                <w:u w:val="none"/>
                <w:lang w:val="en-US" w:eastAsia="zh-CN" w:bidi="ar"/>
              </w:rPr>
              <w:t xml:space="preserve">，Python编程下可读取具体RGB值。采样率：100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。最佳读取距离：16mm。还可测量从黑暗至强太阳光范围内的反射光和环境光强度，数值以0-100%记。 传感器3个LED灯可独立控制，输出4000K色温白光，输出功率控制范围为0-100%，增量为1%。线缆长度：25cm），</w:t>
            </w:r>
            <w:r>
              <w:rPr>
                <w:rFonts w:hint="eastAsia" w:ascii="宋体" w:hAnsi="宋体" w:eastAsia="宋体" w:cs="宋体"/>
                <w:i w:val="0"/>
                <w:iCs w:val="0"/>
                <w:color w:val="0000ff"/>
                <w:sz w:val="21"/>
                <w:szCs w:val="21"/>
                <w:u w:val="none"/>
                <w:lang w:val="en-US" w:eastAsia="zh-CN" w:bidi="ar"/>
              </w:rPr>
              <w:t xml:space="preserve">应用程序：</w:t>
            </w:r>
            <w:bookmarkStart w:id="147" w:name="_GoBack"/>
            <w:r>
              <w:rPr>
                <w:rFonts w:hint="eastAsia" w:ascii="宋体" w:hAnsi="宋体" w:eastAsia="宋体" w:cs="宋体"/>
                <w:i w:val="0"/>
                <w:iCs w:val="0"/>
                <w:color w:val="0000ff"/>
                <w:sz w:val="21"/>
                <w:szCs w:val="21"/>
                <w:highlight w:val="none"/>
                <w:u w:val="none"/>
                <w:lang w:val="en-US" w:eastAsia="zh-CN" w:bidi="ar"/>
              </w:rPr>
              <w:t xml:space="preserve">App 应用程序</w:t>
            </w:r>
            <w:bookmarkEnd w:id="147"/>
            <w:r>
              <w:rPr>
                <w:rFonts w:hint="eastAsia" w:ascii="宋体" w:hAnsi="宋体" w:eastAsia="宋体" w:cs="宋体"/>
                <w:i w:val="0"/>
                <w:iCs w:val="0"/>
                <w:color w:val="000000"/>
                <w:sz w:val="21"/>
                <w:szCs w:val="21"/>
                <w:u w:val="none"/>
                <w:lang w:val="en-US" w:eastAsia="zh-CN" w:bidi="ar"/>
              </w:rPr>
              <w:t xml:space="preserve">（面向学生的 App 应用程序，包含所有学习活动及搭建手册），可在同一个应用程序内实现图形化编程以及Python文本编程自如切换，无需额外的SD卡。 除度数、圈数和时间之外，移动编程模块可以使用厘米作为输入单位，精准控制机器人在场地上的移动。兼容不同的平台（安卓、苹果、微软、谷歌等）；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二、配套服务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#1.课程：12课时竞赛训练学习内容，启发学生搭建更高阶的模型，并为今后参加趣味性和挑战性的机器人竞赛做好准备；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#2.教师培训：提供产品入门、课程教学、教学理念和方法等多模块系统培训资料，助力老师能够顺利指导学生参加赛事活动。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2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六足机器人</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#1.六足机器人尺寸：腿长：287mm；躯干长：230mm；躯干宽：80mm；机械臂长：230mm;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#2.机器人重量：约3kg：机体材料：PETG-H;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#3.电池：12V 5600mAh ；续航时间：约120min;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#4.腿部：每条腿3个自由度*6；头部：1个自由度；机械臂：2个自由度；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#5.舵机：智能总线舵机，防堵转舵机;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#6.控制器：宽电压输入9-24V， 7路可控电源输出，7路防堵转舵机，I2C超声波测距*1。 1路输入。6路高速总线舵机接口;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#7.摄像头：前置、后置双摄像头，2.8mm HD1080P USB无畸变广角宽动态逆光补偿摄像头;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#8.传感器模块：超声波测距模块，电压表模块;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#9.通讯方式：WIFI,以太网;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#10.抓取模块： 3个真空泵吸取模块;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#11.最新升级包，可以进行明年白名单赛事;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#12.套件支持xDingAI电脑编程软件。</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四足机器人</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afterAutospacing="0"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一、功能描述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#1.可实现AI边缘计算图形化编程，例如骨骼识别，手势识别，人脸检测，语音识别等常用AI程序;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#2.可实现物体抓取，全向移动，六维姿态控制，多种运动步态及运动叠加，内置陀螺仪，可保持身体自平衡;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#3.产品配套编程云平台，可以通过无线wifi对机器狗进行AI编程;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#4.伺服舵机具有关节角度回读功能，可用于机器人示教;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二、配置要求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#1.机器狗套件包含15个总线舵机；AI模组；机器狗驱动和钣金件；电源适配器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#2.机器狗零件材质为铝合金材质，阳极氧化上色，安全无毒;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#3.定制串口总线伺服舵机，可实现精准动作的控制及表达;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#4.配套完整的课程体系，包含教学资料以及编程云平台。机器狗结构开源并配套开源SDK;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#1.舵机参数型号：总线串口舵机,输出扭矩：4.5KG•CM,转速（S/60°）：0.1 S/60°,精度：0.01,工作电压范围：4.8V～7.4V,工作温度：-20℃～ +60℃,角度范围：0~360°,重量：20±1g,马达类型：空心杯;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#2.编程模组参数：模块：ESP32,按键：2个可编程按键,外接：iic和usb等。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AI摄像头参数：64位RISC-V神经网络处理器K210；板载ESP8285-WiFi芯片，可以直接通过Arduino进行编程开发，实现云端图像识别，无线图传，AIoT物联网等应用。ESP8285可以作为K210的协处理器，无需外接主控也可进行AI编程的学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#4.电源系统：充电器输入电压：100-240V AC 50/60Hz；充电器输出电压：8.4V；充电器输出电流：1A，具有过流保护特性，防止过充爆炸;电池：18650标准3500毫安3C放电;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#5.整机系统：默认姿态尺寸：28*15*18CM；重量：915g；结构：1.5mm阳极氧化铝合金;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#6.最新升级包，可以进行明年白名单赛事;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四、课程参数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机器狗系列课程，包含四大模块，共计30课时，其中包括《知识科普》系列课程，在这个模块中，学生将了解到什么是人工智能，人工智能的历史、图灵测试是什么、机器人的发展史，以及人工智能带给我们的思考。在《机械狗基础》系列课程中，学生将探索机器狗的神奇奥秘；在《编程基础》系列课程中，可快速提升编程技能；《智能图像》系列课程中，通过AI接口和机器狗运动结合，让学生探索AI和机器人结合。</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A类场地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33"/>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轮式机器人</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一、功能描述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#1.支持Arduino IDE、Mind+、Mixly等主流编程软件，支持图形化编程;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#2.支持物品的颜色识别，便签识别、精准抓取等基础功能;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#3.采用双滑轨结构能够精准控制臂的前后上下的移动，减少了角度的调试;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#4.采用麦克纳姆轮结构能够前后左右移动;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#5.能够越过2cm障碍;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二、配置要求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#1.B类机器人套件包含加厚底盘、定制滑轨、定制升降臂，配套二哈识图视觉传感器;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#2.机器人滑轨采用工业导轨，高强度高精度;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#3.巡线传感器能够检测2cm-10cm距离;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#4.定位物体采用高精度激光测距模块;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#5.配套完整的使用教程，包含教学资料以及编程平台;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#1.舵机参数型号：总线舵机,输出扭矩：20KG•CM；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#2.编程主控参数：模块：arduino2560,电机接口：4路,舵机接口：总线串口模式,按键：一个复位按钮五个按键,外接：iic和串口等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#3.电源系统：充电器输入电压：100-240V AC 50/60Hz；充电器输出电压：8.4V；充电器输出电流：1A，具有过流保护特性，防止过充爆炸;电池：锂电池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#4.整机系统尺寸：245mm*265mm*295mm；重量：3200g。</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B类场地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759"/>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智能无人机C类竞赛套装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#1.尺寸：≥230mm轴距；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#2.重量：飞机全重≥129g（含保护圈）；最大起飞重量≥150g；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#3.马达：820空心杯电机；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#4.电池：容量1200mAh；标称电压3.7V 25C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#5.飞行时间：悬停环境下约12分钟；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#6.飞行控制板：支持多种飞行模式，支持C语言编程，含光流模块、视觉识别模块、语音控制模块、激光定高模块；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#7.遥控器：自带显示屏，2.4G通讯，可实时查看各种传感器状态，能够设置各种飞行模式；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#8.光流模块：支持光流定位；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#9.激光模块：采用激光定高；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#10.视觉识别模块：可识别系统自带标签，能够完成巡线、跟踪、颜色识别等任务，支持Python编程，可做二次开发；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#11.可拓展下置12V直流电吸盘式电磁铁、舵机、摄像头、红外打靶等模块，可用于编程完成指定任务；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#12.自带图形化编程：在同一编程界面上，可以实现多机联动；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#13.自带RGB灯，灯光可编程控制，也可跟音乐节奏控制；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#14.自带编队软件，可以结合编队配套道具，可实现多机编队飞行；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#15.支持互联通信模块，可与机器人、智能场景道具等产品实现物联数据交换；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架</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智能无人机C类拓展材料包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#1.套装内包含：工具箱≥1；结构≥1，电机≥4，桨叶≥8（套），保护罩≥8，充电器≥1，电池≥2，备用螺丝若干。</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智能无人机C类抓取结构</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#1、抓取结构*1，可完成物块抓取任务。</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智能无人机C类电池</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#1.插头方式:空对空小白头;容量:1200mAh 3.7V 25C ;尺寸:50*24*8MM;重量:21G。</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C类机器人竞赛场地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#1.场地道具包含：EVA物块≥6（4蓝2红），竖杆≥9，卡扣若干，圆环≥2，底座≥6，圆柱≥1；场地地图尺寸：≥2m*4m，喷绘布材质；最新升级包，可以进行明年白名单赛事。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279"/>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机器狗</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#1.机械与电气参数：站立尺寸约70×31×40cm，重量（含电池）约15kg，铝合金+高强度工程塑料，供电电压约28V—33.6V，工作最大功率约3000W；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#2.标配4D超广角激光雷达,感知系统提升200%,4D 激光雷达 L1，360°x90°半球形超广角感知能力，拥有超低盲区，最小探测距离低至 0.05m，配有高清广角相机。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#3.超大关节运动空间：机身约为-48°～48°，大腿约为-200～90°，小腿约为-156°～-48°；                                                                   </w:t>
            </w:r>
            <w:r>
              <w:rPr>
                <w:rFonts w:hint="eastAsia" w:ascii="宋体" w:hAnsi="宋体" w:eastAsia="宋体" w:cs="宋体"/>
                <w:i w:val="0"/>
                <w:iCs w:val="0"/>
                <w:color w:val="000000"/>
                <w:sz w:val="21"/>
                <w:szCs w:val="21"/>
                <w:u w:val="none"/>
                <w:lang w:val="en-US" w:eastAsia="zh-CN" w:bidi="ar"/>
              </w:rPr>
              <w:t xml:space="preserve">                                                                                                                                                                                                                      #4.运动速度：0～3.5m/，最大关节扭矩约45N.m；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#5.拥有强大计算核心：内置运动控制器、高性能ARM处理器，超级AI算力。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#6.具备跳跃/空中转体/跳舞/双腿站立等功能，可执行伸懒腰、握手、开心、扑人、坐下等多种动作姿态；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#7.腿和机身连接处具备全向柔性缓冲结构，可吸收全</w:t>
            </w:r>
            <w:r>
              <w:rPr>
                <w:rFonts w:hint="eastAsia" w:ascii="宋体" w:hAnsi="宋体" w:cs="宋体"/>
                <w:i w:val="0"/>
                <w:iCs w:val="0"/>
                <w:color w:val="000000"/>
                <w:sz w:val="21"/>
                <w:szCs w:val="21"/>
                <w:u w:val="none"/>
                <w:lang w:val="en-US" w:eastAsia="zh-CN" w:bidi="ar"/>
              </w:rPr>
              <w:t xml:space="preserve">方位</w:t>
            </w:r>
            <w:r>
              <w:rPr>
                <w:rFonts w:hint="eastAsia" w:ascii="宋体" w:hAnsi="宋体" w:eastAsia="宋体" w:cs="宋体"/>
                <w:i w:val="0"/>
                <w:iCs w:val="0"/>
                <w:color w:val="000000"/>
                <w:sz w:val="21"/>
                <w:szCs w:val="21"/>
                <w:u w:val="none"/>
                <w:lang w:val="en-US" w:eastAsia="zh-CN" w:bidi="ar"/>
              </w:rPr>
              <w:t xml:space="preserve">冲击,具有良好的缓冲功能，拥有从高度1米处跌落不会损坏并能在2秒内继续行走的能力；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#8.支持图形化编程，具备APP上帝视角，APP沉浸式机器狗模拟器功能，内置超级动态伴随自主避障系统、无线矢量定位伴随模组；                                                                                                                          #9.连接方式：支持Wi-Fi6双频无线、蓝牙、4G模组连接；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#10.支持语音功能、智能伴随、探物避障，配有手持式遥控器、智能电池、充电器。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264"/>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AI智能机器人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优创未来</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一、功能描述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#1.一款多拟态AI机器人，产品包含结构件、执行件和主控。配合3D动态图纸和可视化编程，趣味性的学习加动手操作，让学生从零基础轻松进入机器人世界，要求满足课程16主题，64课时学习;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#2.平台同时能运行多个算法模型;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#3.编程平台开放了python sdk，配合第三方python工具实现更开放的编程;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二、配置要求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#1.≥26个种类，≥58个零件，可构建主流机器人形态，可搭建变形工程车、机械臂、麦轮车、机器狗等至少五种形态；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#3.智能语音：本地VAD、在线ASR和在线TTS语音功能、NLP功能、3麦降噪、响度检测；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#5.运控算法：自适应算法、麦伦运控算法、机械臂算法、里程算法;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#1.主芯片参数如下：内存：≥32GB；NPU：≥1 TOPS；闪存：≥4GB;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#2.舵机参数如下：最大扭矩：约13.0 kgf.cm；最大转速：≥60 RPM ；控制精度：空载1°，带载2°；角度范围：0～360°；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#3.减速电机参数如下：最大扭矩：约2.0 kgf.cm；最大转速：≥360 RPM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#4.摄像头模组参数如下：视场角：106°；像素：1M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#5.测距模组参数如下：检测距离：4-200 cm；工作波段：940 nm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022"/>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优创未来场地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#1.≥18个种类，≥70个部件，支持学生完成AI城市奇兵课程；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#2.该产品的小球和方块采用新型环保塑料发泡材料（EVA），具有良好的缓冲、抗震、防潮、抗化学腐蚀等优点;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#3.该产品的识别卡片采用了硬卡纸，具有不易破损的特点;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#4.地图包参数如下：约2000*1600mm (mm) ，地板膜过哑胶,四色印刷，高精度喷绘;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359"/>
        <w:gridCol w:w="6615"/>
        <w:gridCol w:w="720"/>
        <w:gridCol w:w="681"/>
      </w:tblGrid>
      <w:tr>
        <w:trPr>
          <w:trHeight w:val="567" w:hRule="exact"/>
        </w:trPr>
        <w:tc>
          <w:tcPr>
            <w:gridSpan w:val="5"/>
            <w:shd w:val="clear" w:color="auto" w:fill="auto"/>
            <w:tcBorders>
              <w:top w:val="single" w:color="000000" w:sz="4" w:space="0"/>
              <w:left w:val="single" w:color="000000" w:sz="4" w:space="0"/>
              <w:bottom w:val="single" w:color="auto"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AL-舞蹈教室</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auto"/>
                <w:sz w:val="21"/>
                <w:szCs w:val="21"/>
                <w:u w:val="none"/>
                <w:lang w:val="en-US" w:eastAsia="zh-CN" w:bidi="ar"/>
              </w:rPr>
              <w:fldChar w:fldCharType="begin"/>
            </w:r>
            <w:r>
              <w:rPr>
                <w:rFonts w:hint="eastAsia" w:ascii="宋体" w:hAnsi="宋体" w:eastAsia="宋体" w:cs="宋体"/>
                <w:b/>
                <w:bCs/>
                <w:i w:val="0"/>
                <w:iCs w:val="0"/>
                <w:color w:val="auto"/>
                <w:sz w:val="21"/>
                <w:szCs w:val="21"/>
                <w:u w:val="none"/>
                <w:lang w:val="en-US" w:eastAsia="zh-CN" w:bidi="ar"/>
              </w:rPr>
              <w:instrText xml:space="preserve"> HYPERLINK "" \l "目录!A1" </w:instrText>
            </w:r>
            <w:r>
              <w:rPr>
                <w:rFonts w:hint="eastAsia" w:ascii="宋体" w:hAnsi="宋体" w:eastAsia="宋体" w:cs="宋体"/>
                <w:b/>
                <w:bCs/>
                <w:i w:val="0"/>
                <w:iCs w:val="0"/>
                <w:color w:val="auto"/>
                <w:sz w:val="21"/>
                <w:szCs w:val="21"/>
                <w:u w:val="none"/>
                <w:lang w:val="en-US" w:eastAsia="zh-CN" w:bidi="ar"/>
              </w:rPr>
              <w:fldChar w:fldCharType="separate"/>
            </w:r>
            <w:r>
              <w:rPr>
                <w:rStyle w:val="701"/>
                <w:rFonts w:hint="eastAsia" w:ascii="宋体" w:hAnsi="宋体" w:eastAsia="宋体" w:cs="宋体"/>
                <w:b/>
                <w:bCs/>
                <w:i w:val="0"/>
                <w:iCs w:val="0"/>
                <w:color w:val="auto"/>
                <w:sz w:val="21"/>
                <w:szCs w:val="21"/>
                <w:u w:val="none"/>
              </w:rPr>
              <w:t xml:space="preserve">序号</w:t>
            </w:r>
            <w:r>
              <w:rPr>
                <w:rFonts w:hint="eastAsia" w:ascii="宋体" w:hAnsi="宋体" w:eastAsia="宋体" w:cs="宋体"/>
                <w:b/>
                <w:bCs/>
                <w:i w:val="0"/>
                <w:iCs w:val="0"/>
                <w:color w:val="auto"/>
                <w:sz w:val="21"/>
                <w:szCs w:val="21"/>
                <w:u w:val="none"/>
                <w:lang w:val="en-US" w:eastAsia="zh-CN" w:bidi="ar"/>
              </w:rPr>
              <w:fldChar w:fldCharType="end"/>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把杆</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#1.水曲柳杆长2m±5mm、3m±5mm、4m±5mm，可根据教室实际尺寸配置，直径55mm，内有22mm直径锰钢，带弹性， ABS移动底座，支架采用优质无缝钢管焊接而成，颜色珍珠白、高亮。活动升降</w:t>
            </w:r>
            <w:r>
              <w:rPr>
                <w:rFonts w:hint="eastAsia" w:ascii="宋体" w:hAnsi="宋体" w:cs="宋体"/>
                <w:i w:val="0"/>
                <w:iCs w:val="0"/>
                <w:color w:val="000000"/>
                <w:sz w:val="21"/>
                <w:szCs w:val="21"/>
                <w:u w:val="none"/>
                <w:lang w:val="en-US" w:eastAsia="zh-CN" w:bidi="ar"/>
              </w:rPr>
              <w:t xml:space="preserve">内</w:t>
            </w:r>
            <w:r>
              <w:rPr>
                <w:rFonts w:hint="eastAsia" w:ascii="宋体" w:hAnsi="宋体" w:eastAsia="宋体" w:cs="宋体"/>
                <w:i w:val="0"/>
                <w:iCs w:val="0"/>
                <w:color w:val="000000"/>
                <w:sz w:val="21"/>
                <w:szCs w:val="21"/>
                <w:u w:val="none"/>
                <w:lang w:val="en-US" w:eastAsia="zh-CN" w:bidi="ar"/>
              </w:rPr>
              <w:t xml:space="preserve">芯为优质电镀圆管，螺旋拉销式升降控制装备，升降高度可调节40cm（80-120cm）。</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练功凳</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#1.简约</w:t>
            </w:r>
            <w:r>
              <w:rPr>
                <w:rFonts w:hint="eastAsia" w:ascii="宋体" w:hAnsi="宋体" w:cs="宋体"/>
                <w:i w:val="0"/>
                <w:iCs w:val="0"/>
                <w:color w:val="000000"/>
                <w:sz w:val="21"/>
                <w:szCs w:val="21"/>
                <w:u w:val="none"/>
                <w:lang w:val="en-US" w:eastAsia="zh-CN" w:bidi="ar"/>
              </w:rPr>
              <w:t xml:space="preserve">现代</w:t>
            </w:r>
            <w:r>
              <w:rPr>
                <w:rFonts w:hint="eastAsia" w:ascii="宋体" w:hAnsi="宋体" w:eastAsia="宋体" w:cs="宋体"/>
                <w:i w:val="0"/>
                <w:iCs w:val="0"/>
                <w:color w:val="000000"/>
                <w:sz w:val="21"/>
                <w:szCs w:val="21"/>
                <w:u w:val="none"/>
                <w:lang w:val="en-US" w:eastAsia="zh-CN" w:bidi="ar"/>
              </w:rPr>
              <w:t xml:space="preserve">设计、超纤皮方形、材质：超纤皮，35*35*60cm，颜色随机。</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压腿凳</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#1.练功凳，长2米*宽24厘米*高30厘米±5mm，中间海绵一层，表面采用皮革包裹。</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压腿砖</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#1.环保材质，无害物质，防水性强，不易沾水，高密度海绵泡沫砖，尺寸：23*15*7cm±5mm。</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瑜伽垫</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#1.尺寸：长185cmX宽80cmX厚15mm±5mm，高密度NBR材质。</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橡胶地垫</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#1.绿色环保专业型pvc舞蹈地胶，无毒无味，减震防滑，耐磨，不收缩变形。</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lang w:val="en-US" w:eastAsia="zh-CN" w:bidi="ar"/>
              </w:rPr>
              <w:t xml:space="preserve">米</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全频主音箱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#1.频率响应：54Hz-20KHz；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#2.低音单元≥1×12"；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#3.高音单元≥1×1.75"；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#4.系统：2way speaker；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#5.承受功率≥400W；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#6.灵敏度≥98dB1w/1m；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#7.最大声压≥124dB；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#8.阻抗：8Ω。</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22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功率放大器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#1.采用智能控制强制散热设计，具有风机</w:t>
            </w:r>
            <w:r>
              <w:rPr>
                <w:rFonts w:hint="eastAsia" w:ascii="宋体" w:hAnsi="宋体" w:cs="宋体"/>
                <w:i w:val="0"/>
                <w:iCs w:val="0"/>
                <w:color w:val="000000"/>
                <w:sz w:val="21"/>
                <w:szCs w:val="21"/>
                <w:u w:val="none"/>
                <w:lang w:val="en-US" w:eastAsia="zh-CN" w:bidi="ar"/>
              </w:rPr>
              <w:t xml:space="preserve">噪声</w:t>
            </w:r>
            <w:r>
              <w:rPr>
                <w:rFonts w:hint="eastAsia" w:ascii="宋体" w:hAnsi="宋体" w:eastAsia="宋体" w:cs="宋体"/>
                <w:i w:val="0"/>
                <w:iCs w:val="0"/>
                <w:color w:val="000000"/>
                <w:sz w:val="21"/>
                <w:szCs w:val="21"/>
                <w:u w:val="none"/>
                <w:lang w:val="en-US" w:eastAsia="zh-CN" w:bidi="ar"/>
              </w:rPr>
              <w:t xml:space="preserve">小，散热效率高等特点；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#2.内置智能压限系统，控制功率模块及扬声器系统在安全范围内工作；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#3.具有BRI桥接、STE 立体声、PAR 立体声等模式，≥2 种增益开关可选；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#4.功率放大电路，具有完善可靠的安全保护措施和工作状态指示，让用户放心使用；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#5.输入阻抗:10KΩ 非平衡.20KΩ 平衡；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#6.频率响应(@1W 功率下）:20-20KHz/±0.5dB。                                                                                             </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9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声纹识别反馈抑制器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#1.输入阻抗20KΩ，输出阻抗100Ω；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#2.输入范围：＋6dB-180dB；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#3.最大功耗：≤50 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#4.频率响应：200Hz - 16 kHz（±1dB）；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#5.失真度：&lt; 0.02%（1 kHz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#6.增益调节范围： 0 dB -12dB；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#7.信噪比：&gt; 95 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#8.内置≥5级声纹筛，可以精确筛选出音箱的声音信号，并滤除掉。</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19"/>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穿戴式无线麦克风</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#1.通讯方式，采用2.4G通讯方式，自动调频；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#2.多变穿戴方式，穿着随心，行走随意；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#3.无续航焦虑（单咪续航6小时，配置快速充电仓，充电仓可连续充电2次以上）；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#4.互动更轻松（一个接收器可配置单咪或双咪使用，并支持多套接收系统同时使用）；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#5.多室使用，杜绝串频（任意麦克风都可以与任意接收器配对）；                                                                       </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86"/>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接收盒</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#1.标准的86型尺寸，便于安装和更换，适用性强；具备一路USB供电接口，信号输出4P凤凰插座及5V供电接口。                                                                                                                                                          </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242"/>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#1、8路MIC/LINE，1组立体声输入（9/10），1组RCA音轨立体声+1路USB；支持48V幻象供电；10路输出（2路主输出+2路编组+2路辅助输出+1路监听输出+1路耳机输出+1组立体声录音输出）。</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电源时序器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#1.LED数码管显示屏，可实时显示当前电压，编辑通道状态；8路通道每通道额定2.2KW电源，通道延时1秒；采用新国标电源插座，安全有保障；配置RS232接口，支持外部中控设备控制。</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#1.128*64显示屏；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#2.总谐波失真(1kHz)：≤0.02%；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#3.信噪比（A计权）：≥105dB；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#4.最大输入电平：≥19dBu；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#5.最大输出电平：≥19dBu；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#6.动态范围：≥113dB；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#7.串音：≥100dB；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#8.增益差：≤0.5dB。</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#1.此系列为AB类功放，既有A类功放的高音质，又有B类功放的高效率，两者完美结合；整机省电且声音干净细腻；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#2.高速光电隔离限幅，整机大动态下限幅启控保证失真1%以下；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#3.小信号输入采用高频电压，低失真、低噪声电路；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#4.采用风道散热结构，配合高效率铲齿散热，智能控制风扇强度，散热效率大大提高；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#5.具有软保护、短路、过热、过载、欠压、直流保护等功能；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#6.具有立体声、并联、桥接多种模式选择，以及输入灵敏度选择。</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32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副音箱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#1.8寸两单元两分频全频专业音箱；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#2.由一只34芯高音和8寸低频单元组成；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#3.高密度纤维板箱体，表面雨点漆面处理；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#4.高音清晰，中音饱满，低频沉稳；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#5.支持顶吊/横吊/后支撑/底支撑等多种安装方式；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#6.高音单元：1×1＂(25mm)/1.4＂voice coil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#7.低音单元：1×8＂(200mm)/1.4＂voice coil；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#8.频响范围：60Hz-20KHz；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#9.灵 敏 度：94dB/M/W；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#10.最大声压：114dB continuous,120dB peak；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#11.额定功率：200W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#12.峰值功率：800W；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#13.指 向 性：90°×50°；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#14.额定阻抗：8 ohm；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#15.保 护 网：钢网；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#16.接线方式：2×Speakon NL4。</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#1.机柜规格：550mm*400mm*600mm，箱体：0.5mm立梁：0.8mm；含1支落地式话筒支架，2*1.5㎡专业工程音箱线1卷以及音响系统的设备连接线材。</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579"/>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ABS更衣柜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#1.单门规格高455mm*宽385mm*深468mm （不含底座）;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#2.板材框架厚度：侧板22mm 顶板30mm  门板 27mm  底座 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#3.柜体、柜门必须采用100%全新ABS塑料，五大合成树脂之一制成。不得有两种或多种塑料混搭，柜体不使用任何五金件（锁具除外）;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#4.每门标配配件：机械锁*1个，眼镜盒*1个，门牌号*1张。</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更衣凳</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#1.长凳全部为ABS全新工程塑料制成，强度高韧性好、耐冲击、不易腐蚀无毒无味、环保耐用，尺寸：长1500mm×宽400mm×高450mm;采用钢制模具注塑一次成型;产品不变形、不扭曲达到可重复拆装使用。</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AL1-20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舞蹈鞋柜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#1.实木材质，原木色，尺寸根据教室需要定制;尺寸：100*30*70cm。</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AL1-21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40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8"/>
        <w:gridCol w:w="1344"/>
        <w:gridCol w:w="6615"/>
        <w:gridCol w:w="735"/>
        <w:gridCol w:w="720"/>
      </w:tblGrid>
      <w:tr>
        <w:trPr>
          <w:trHeight w:val="567" w:hRule="exact"/>
        </w:trPr>
        <w:tc>
          <w:tcPr>
            <w:gridSpan w:val="5"/>
            <w:shd w:val="clear" w:color="auto" w:fill="auto"/>
            <w:tcW w:w="1040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0</wp:posOffset>
                      </wp:positionH>
                      <wp:positionV relativeFrom="paragraph">
                        <wp:posOffset>0</wp:posOffset>
                      </wp:positionV>
                      <wp:extent cx="38100" cy="76200"/>
                      <wp:effectExtent l="0" t="0" r="0" b="0"/>
                      <wp:wrapNone/>
                      <wp:docPr id="164" name="图片_1"/>
                      <wp:cNvGraphicFramePr/>
                      <a:graphic xmlns:a="http://schemas.openxmlformats.org/drawingml/2006/main">
                        <a:graphicData uri="http://schemas.openxmlformats.org/drawingml/2006/picture">
                          <pic:pic xmlns:pic="http://schemas.openxmlformats.org/drawingml/2006/picture">
                            <pic:nvPicPr>
                              <pic:cNvPr id="164" name="图片_1"/>
                              <pic:cNvPicPr/>
                              <pic:nvPr/>
                            </pic:nvPicPr>
                            <pic:blipFill>
                              <a:blip r:embed="rId16"/>
                              <a:stretch/>
                            </pic:blipFill>
                            <pic:spPr bwMode="auto">
                              <a:xfrm>
                                <a:off x="0" y="0"/>
                                <a:ext cx="38100" cy="7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24128;o:allowoverlap:true;o:allowincell:true;mso-position-horizontal-relative:text;margin-left:0.0pt;mso-position-horizontal:absolute;mso-position-vertical-relative:text;margin-top:0.0pt;mso-position-vertical:absolute;width:3.0pt;height:6.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bCs/>
                <w:i w:val="0"/>
                <w:iCs w:val="0"/>
                <w:color w:val="000000"/>
                <w:sz w:val="21"/>
                <w:szCs w:val="21"/>
                <w:u w:val="none"/>
                <w:lang w:val="en-US" w:eastAsia="zh-CN" w:bidi="ar"/>
              </w:rPr>
              <w:t xml:space="preserve">AM-音乐合唱教室1</w:t>
            </w:r>
            <w:r/>
          </w:p>
        </w:tc>
      </w:tr>
      <w:tr>
        <w:trPr>
          <w:trHeight w:val="27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W w:w="72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w:t>
            </w:r>
            <w:r/>
          </w:p>
        </w:tc>
      </w:tr>
      <w:tr>
        <w:trPr>
          <w:trHeight w:val="162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AM1-01</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钢琴</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 ：高 1195mm / 宽 1506mm / 深 618mm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#2.重量：236kg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#3.88键木质键盘；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#4.击弦机：ABS击弦机 。音板：优选级云杉实木音板 ； 弦码：高强度实木层积式结构设计 ； 键盘：天然云杉实木键盘 ； 键盖安全装置：键盘盖缓降功能。</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AM1-02</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合唱台（固定式）</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木伸缩移动合唱台三层，120-130-75cm(长宽高)层宽40cm，层高25cm，橡胶木齿接板18mm厚，内部使用同等厚度板做龙骨，每层可承重500公斤以上，三层整体承重不小于1500公斤，整体台阶可伸缩，一二层可收纳第三层内部，收纳后尺寸120-50-75cm，台阶</w:t>
            </w:r>
            <w:r>
              <w:rPr>
                <w:rFonts w:hint="eastAsia" w:ascii="宋体" w:hAnsi="宋体" w:cs="宋体"/>
                <w:i w:val="0"/>
                <w:iCs w:val="0"/>
                <w:color w:val="000000"/>
                <w:sz w:val="21"/>
                <w:szCs w:val="21"/>
                <w:u w:val="none"/>
                <w:lang w:val="en-US" w:eastAsia="zh-CN" w:bidi="ar"/>
              </w:rPr>
              <w:t xml:space="preserve">底部</w:t>
            </w:r>
            <w:r>
              <w:rPr>
                <w:rFonts w:hint="eastAsia" w:ascii="宋体" w:hAnsi="宋体" w:eastAsia="宋体" w:cs="宋体"/>
                <w:i w:val="0"/>
                <w:iCs w:val="0"/>
                <w:color w:val="000000"/>
                <w:sz w:val="21"/>
                <w:szCs w:val="21"/>
                <w:u w:val="none"/>
                <w:lang w:val="en-US" w:eastAsia="zh-CN" w:bidi="ar"/>
              </w:rPr>
              <w:t xml:space="preserve">每层有4个静音</w:t>
            </w:r>
            <w:r>
              <w:rPr>
                <w:rFonts w:hint="eastAsia" w:ascii="宋体" w:hAnsi="宋体" w:cs="宋体"/>
                <w:i w:val="0"/>
                <w:iCs w:val="0"/>
                <w:color w:val="000000"/>
                <w:sz w:val="21"/>
                <w:szCs w:val="21"/>
                <w:u w:val="none"/>
                <w:lang w:val="en-US" w:eastAsia="zh-CN" w:bidi="ar"/>
              </w:rPr>
              <w:t xml:space="preserve">万向轮</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4722"/>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AM1-03</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合唱台（移动式）</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#1.尺寸：三层尺寸1230*1150*620±10mm；每层台阶款宽390±10mm，高210±10mm；小舞台尺寸:1540*1230*310±10mm；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#2.材质：高密度PE；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#3.工艺：吹塑制作，材质轻，耐磨抗压，抗氧化功能强，长期使用也不会产生开裂现象，硬度和强度高，吸水性小，优良的电绝缘性，耐寒；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#4.功能：合唱台台阶可翻转设计，可调整为两层合唱台也可以变为一个整体的小舞台，侧面轮子设计方便推移；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须提供依据GB28007-2011《儿童家具通用技术条件》结构安全第三方检测报告，检测结果合格；环保性能：符合第三方检测机构性能测试，检测结果需符合以下技术指标并提供相应的检测结果及报告证明文件：甲醛释放量不大于0.1mg/l；须提供依据GB/T 1843-2008悬臂梁缺口冲击强度检测判定基准：≥46，检测结论：符合。须提供依据GB/T 2411-2008邵氏硬度检测判定基准：≥53，检测结论:符合。依据GB/T 1043.1-2008简支梁缺口冲击检测判定基准：≥66，检测结论:符合；</w:t>
            </w:r>
            <w:r>
              <w:rPr>
                <w:rStyle w:val="921"/>
                <w:rFonts w:hint="eastAsia" w:ascii="宋体" w:hAnsi="宋体" w:eastAsia="宋体" w:cs="宋体"/>
                <w:b/>
                <w:bCs/>
                <w:color w:val="auto"/>
                <w:sz w:val="21"/>
                <w:szCs w:val="21"/>
                <w:lang w:val="en-US" w:eastAsia="zh-CN" w:bidi="ar"/>
              </w:rPr>
              <w:t xml:space="preserve">（提供具有CMA标识的第三方检测机构出具的检测报告原件扫描件）</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54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AM1-04</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表演地台</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#1.实木橡胶木材质厚度≥18mm；尺寸≥120*300cm。（可根据现场定制）</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476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AM1-05</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音乐凳</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#1.尺寸：≥340*300*300mm。厚度：</w:t>
            </w:r>
            <w:r>
              <w:rPr>
                <w:rFonts w:hint="eastAsia" w:ascii="宋体" w:hAnsi="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val="en-US" w:eastAsia="zh-CN" w:bidi="ar"/>
              </w:rPr>
              <w:t xml:space="preserve">面≥5mm,凳脚≥20mm,抽屉侧板≥3mm,抽屉前后板≥4.5mm；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#2.材质：优质ABS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艺：注塑制作。耐磨抗压，抗氧化功能强，长期使用也不会产生开裂现象。硬度和强度高，吸水性小，优良的电绝缘性，耐寒。凳脚须配防滑橡胶条。侧边必须为双层结构，增加产品的坚固性及承重性，保证产品使用过程中的安全性；配置pp塑料抽屉，抽屉自带限位功能，当储物移动时不会自然滑出，前门根据人体工程学设计凹型提手，后门设计镂空便携式提手。可堆叠，既可做合唱台，也可以作为收纳小柜子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依据GB/T32487-2016《塑料家具通用技术条件》塑料件外观和理化性能的第三方检测报告，检测结果合格；依据GB28007-2011《儿童家具通用技术条件》结构安全第三方检测报告，检测结果合格；环保性能：符合第三方检测机构性能测试，检测结果需符合，甲醛释放量不大于0.1mg/l；</w:t>
            </w:r>
            <w:r>
              <w:rPr>
                <w:rStyle w:val="921"/>
                <w:rFonts w:hint="eastAsia" w:ascii="宋体" w:hAnsi="宋体" w:eastAsia="宋体" w:cs="宋体"/>
                <w:b/>
                <w:bCs/>
                <w:color w:val="auto"/>
                <w:sz w:val="21"/>
                <w:szCs w:val="21"/>
                <w:lang w:val="en-US" w:eastAsia="zh-CN" w:bidi="ar"/>
              </w:rPr>
              <w:t xml:space="preserve">（提供具有CMA标识的第三方检测机构出具的检测报告原件扫描件）</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314"/>
        <w:gridCol w:w="6630"/>
        <w:gridCol w:w="750"/>
        <w:gridCol w:w="666"/>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AN-音乐教室2</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钢琴</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技术参数同“AM1-01钢琴”</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电子琴</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黑色机身，61键风琴键盘761种优质音色(包括45个中国民乐音色/民族乐鼓组+10个音音色+466种XGlite音色)270种优质伴毒型(包括35种中国风格伴毒)直触式操作中文印刷面板中文功能显示屏USB音频录音/播放MIDI格式多轨录音8x4注册记忆存储，可保存至 USB6W+6W优质扬声器48复音数快速采样功能 1台 。</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非洲鼓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#1.规格：12寸；材质：鼓身：桃花芯木；鼓面：老山羊皮；工艺：整木掏空、彩漆、点漆；颜色可</w:t>
            </w:r>
            <w:r>
              <w:rPr>
                <w:rFonts w:hint="eastAsia" w:ascii="宋体" w:hAnsi="宋体" w:cs="宋体"/>
                <w:i w:val="0"/>
                <w:iCs w:val="0"/>
                <w:color w:val="000000"/>
                <w:sz w:val="21"/>
                <w:szCs w:val="21"/>
                <w:u w:val="none"/>
                <w:lang w:val="en-US" w:eastAsia="zh-CN" w:bidi="ar"/>
              </w:rPr>
              <w:t xml:space="preserve">选择</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#1.规格：长30，宽30，高50；材质：面板：桃花芯木；背侧板：桦木</w:t>
            </w:r>
            <w:r>
              <w:rPr>
                <w:rStyle w:val="913"/>
                <w:rFonts w:hint="eastAsia" w:ascii="宋体" w:hAnsi="宋体" w:eastAsia="宋体" w:cs="宋体"/>
                <w:sz w:val="21"/>
                <w:szCs w:val="21"/>
                <w:lang w:val="en-US" w:eastAsia="zh-CN" w:bidi="ar"/>
              </w:rPr>
              <w:t xml:space="preserve">；响弦：两组各四根微螺旋箱鼓响弦；</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0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音束</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#1.规格：33音；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#2.材质：阳极电镀铝合金音管。</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邦戈鼓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#1.规格：≥17.15cm；鼓身材质：橡木</w:t>
            </w:r>
            <w:r>
              <w:rPr>
                <w:rStyle w:val="913"/>
                <w:rFonts w:hint="eastAsia" w:ascii="宋体" w:hAnsi="宋体" w:eastAsia="宋体" w:cs="宋体"/>
                <w:sz w:val="21"/>
                <w:szCs w:val="21"/>
                <w:lang w:val="en-US" w:eastAsia="zh-CN" w:bidi="ar"/>
              </w:rPr>
              <w:t xml:space="preserve">；鼓面材质：手选水牛皮。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大堂鼓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#1.规格：≥16寸；材质：椿木黄牛皮。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小堂鼓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#1.规格：≥6寸；鼓腔材质：椿木；鼓面材质：黄牛皮。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AN1-09</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音叉</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#1.钢制，440Hz。</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AN1-10</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沙锤</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#1.木质，总长230㎜（含手柄）彩色，两个一组（一对）。</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沙锤</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#1.沙锤：一副两个，木质柄0.8mm。沙锤：一副两个，木质柄长200mm以上，椰壳最小直径110mm。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卡巴撒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#1.直径11.5CM 木制圈。</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卡巴撒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#1.直径6.5CM 木制圈。</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双响筒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#1.木质，木材本色，带敲击锤，筒直径10㎜，长度约180㎜ 棍长约15cm。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木鱼</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#1.木鱼 要求：材质为椿木，八个为一组（8音）；每个尺寸分别为（宽±5mm*高±5mm）：95mm*85mm、90mm*80mm、85mm*75mm、80mm*70mm、75mm*65mm、70mm*60mm、65mm*55mm、60mm*50mm。正面方形，侧面三角形。颜色：红色.金色。手工制作，设有发音孔。附敲击槌1个，槌头1个；槌头直径为25mm，圆球形；把为圆柱形，直径为5mm，全长为195mm。敲击发出不同的声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铃鼓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#1.木质鼓圈，常规尺寸各一副，鼓梆为高密度科技木质纤维。表面贴强化共振膜。双排钢合金材质铃片。高科技纤维鼓皮。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三角铁</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#1.黄铜制，边长分别为4英寸、6英寸、8英寸，三件一套。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碰铃</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#1.材质为黄铜，系丝带型，直径约为48mm.高度约为42mm.壁厚约为1mm；两个一对，手持碰撞发声 。</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AN1-19</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大军鼓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#1.尺寸：直径26英寸，高度12英寸，鼓腔:内为多层桦木，鼓圈：铝合金压铸。超强压铸合金鼓耳。正品聚酯膜鼓皮。镀锌</w:t>
            </w:r>
            <w:r>
              <w:rPr>
                <w:rFonts w:hint="eastAsia" w:ascii="宋体" w:hAnsi="宋体" w:cs="宋体"/>
                <w:i w:val="0"/>
                <w:iCs w:val="0"/>
                <w:color w:val="000000"/>
                <w:sz w:val="21"/>
                <w:szCs w:val="21"/>
                <w:u w:val="none"/>
                <w:lang w:val="en-US" w:eastAsia="zh-CN" w:bidi="ar"/>
              </w:rPr>
              <w:t xml:space="preserve">紧固件</w:t>
            </w:r>
            <w:r>
              <w:rPr>
                <w:rFonts w:hint="eastAsia" w:ascii="宋体" w:hAnsi="宋体" w:eastAsia="宋体" w:cs="宋体"/>
                <w:i w:val="0"/>
                <w:iCs w:val="0"/>
                <w:color w:val="000000"/>
                <w:sz w:val="21"/>
                <w:szCs w:val="21"/>
                <w:u w:val="none"/>
                <w:lang w:val="en-US" w:eastAsia="zh-CN" w:bidi="ar"/>
              </w:rPr>
              <w:t xml:space="preserve">。每个鼓都配有专业木制鼓棒</w:t>
            </w:r>
            <w:r>
              <w:rPr>
                <w:rFonts w:hint="eastAsia" w:ascii="宋体" w:hAnsi="宋体" w:cs="宋体"/>
                <w:i w:val="0"/>
                <w:iCs w:val="0"/>
                <w:color w:val="000000"/>
                <w:sz w:val="21"/>
                <w:szCs w:val="21"/>
                <w:u w:val="none"/>
                <w:lang w:val="en-US" w:eastAsia="zh-CN" w:bidi="ar"/>
              </w:rPr>
              <w:t xml:space="preserve">及</w:t>
            </w:r>
            <w:r>
              <w:rPr>
                <w:rFonts w:hint="eastAsia" w:ascii="宋体" w:hAnsi="宋体" w:eastAsia="宋体" w:cs="宋体"/>
                <w:i w:val="0"/>
                <w:iCs w:val="0"/>
                <w:color w:val="000000"/>
                <w:sz w:val="21"/>
                <w:szCs w:val="21"/>
                <w:u w:val="none"/>
                <w:lang w:val="en-US" w:eastAsia="zh-CN" w:bidi="ar"/>
              </w:rPr>
              <w:t xml:space="preserve">背架。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AN1-20</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小军鼓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#1.尺寸：14*5.5英寸，鼓腔:内为多层桦木，鼓圈：铝合金压铸。超强压铸合金鼓耳。正品聚酯膜鼓皮。镀锌</w:t>
            </w:r>
            <w:r>
              <w:rPr>
                <w:rFonts w:hint="eastAsia" w:ascii="宋体" w:hAnsi="宋体" w:cs="宋体"/>
                <w:i w:val="0"/>
                <w:iCs w:val="0"/>
                <w:color w:val="000000"/>
                <w:sz w:val="21"/>
                <w:szCs w:val="21"/>
                <w:u w:val="none"/>
                <w:lang w:val="en-US" w:eastAsia="zh-CN" w:bidi="ar"/>
              </w:rPr>
              <w:t xml:space="preserve">紧固件</w:t>
            </w:r>
            <w:r>
              <w:rPr>
                <w:rFonts w:hint="eastAsia" w:ascii="宋体" w:hAnsi="宋体" w:eastAsia="宋体" w:cs="宋体"/>
                <w:i w:val="0"/>
                <w:iCs w:val="0"/>
                <w:color w:val="000000"/>
                <w:sz w:val="21"/>
                <w:szCs w:val="21"/>
                <w:u w:val="none"/>
                <w:lang w:val="en-US" w:eastAsia="zh-CN" w:bidi="ar"/>
              </w:rPr>
              <w:t xml:space="preserve">。每个鼓都配有专业木制鼓棒及背带。</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多音鼓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#1.尺寸：直径6英寸、8英寸、10英寸、12英寸、13英寸，五种不同尺寸的鼓固定在一个背架上。鼓腔:内为多层桦木，鼓圈：铝合金压铸。超强压铸合金鼓耳。正品聚酯膜鼓皮。镀锌</w:t>
            </w:r>
            <w:r>
              <w:rPr>
                <w:rFonts w:hint="eastAsia" w:ascii="宋体" w:hAnsi="宋体" w:cs="宋体"/>
                <w:i w:val="0"/>
                <w:iCs w:val="0"/>
                <w:color w:val="000000"/>
                <w:sz w:val="21"/>
                <w:szCs w:val="21"/>
                <w:u w:val="none"/>
                <w:lang w:val="en-US" w:eastAsia="zh-CN" w:bidi="ar"/>
              </w:rPr>
              <w:t xml:space="preserve">紧固件</w:t>
            </w:r>
            <w:r>
              <w:rPr>
                <w:rFonts w:hint="eastAsia" w:ascii="宋体" w:hAnsi="宋体" w:eastAsia="宋体" w:cs="宋体"/>
                <w:i w:val="0"/>
                <w:iCs w:val="0"/>
                <w:color w:val="000000"/>
                <w:sz w:val="21"/>
                <w:szCs w:val="21"/>
                <w:u w:val="none"/>
                <w:lang w:val="en-US" w:eastAsia="zh-CN" w:bidi="ar"/>
              </w:rPr>
              <w:t xml:space="preserve">。配有专业木制鼓棒。</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竖笛</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#1.6孔塑料竖笛，尺寸约：长32.5cm，宽3.2cm，附带清洁棒一支。产品采用食品级ABS无毒工程树脂材料制作，对学生使用无危害健康。</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竖笛</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#1.高音英式6孔木笛，安装轻松，携带方便。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陶笛</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#1.单管十二孔中音C调（AC），优质陶瓷烧制，专业演奏级音色，带保护套机相关配饰。</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葫芦丝</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#1.中音C调，天然葫芦，紫竹刻字白铜 双音可拆。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葫芦丝</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#1.降B调，天然葫芦，紫竹刻字白铜 双音可拆 。</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135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堂鼓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#1.材质：杨木制鼓腔、水牛皮鼓面 ，附带一对优质鼓棒，一套鼓架  ；规格:鼓面直径32CM（10寸），高度33CM；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#2.结构：由木制鼓圈和水牛皮鼓面组成。鼓圈与鼓面连接处用锚钉固定，更为结实。鼓圈</w:t>
            </w:r>
            <w:r>
              <w:rPr>
                <w:rFonts w:hint="eastAsia" w:ascii="宋体" w:hAnsi="宋体" w:cs="宋体"/>
                <w:i w:val="0"/>
                <w:iCs w:val="0"/>
                <w:color w:val="000000"/>
                <w:sz w:val="21"/>
                <w:szCs w:val="21"/>
                <w:u w:val="none"/>
                <w:lang w:val="en-US" w:eastAsia="zh-CN" w:bidi="ar"/>
              </w:rPr>
              <w:t xml:space="preserve">喷涂</w:t>
            </w:r>
            <w:r>
              <w:rPr>
                <w:rFonts w:hint="eastAsia" w:ascii="宋体" w:hAnsi="宋体" w:eastAsia="宋体" w:cs="宋体"/>
                <w:i w:val="0"/>
                <w:iCs w:val="0"/>
                <w:color w:val="000000"/>
                <w:sz w:val="21"/>
                <w:szCs w:val="21"/>
                <w:u w:val="none"/>
                <w:lang w:val="en-US" w:eastAsia="zh-CN" w:bidi="ar"/>
              </w:rPr>
              <w:t xml:space="preserve">红色环保油漆，鼓的侧面两端镶有铝制挂钩，可以同时挂在鼓架上使用；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#3.使用方法：左右</w:t>
            </w:r>
            <w:r>
              <w:rPr>
                <w:rFonts w:hint="eastAsia" w:ascii="宋体" w:hAnsi="宋体" w:cs="宋体"/>
                <w:i w:val="0"/>
                <w:iCs w:val="0"/>
                <w:color w:val="000000"/>
                <w:sz w:val="21"/>
                <w:szCs w:val="21"/>
                <w:u w:val="none"/>
                <w:lang w:val="en-US" w:eastAsia="zh-CN" w:bidi="ar"/>
              </w:rPr>
              <w:t xml:space="preserve">手</w:t>
            </w:r>
            <w:r>
              <w:rPr>
                <w:rFonts w:hint="eastAsia" w:ascii="宋体" w:hAnsi="宋体" w:eastAsia="宋体" w:cs="宋体"/>
                <w:i w:val="0"/>
                <w:iCs w:val="0"/>
                <w:color w:val="000000"/>
                <w:sz w:val="21"/>
                <w:szCs w:val="21"/>
                <w:u w:val="none"/>
                <w:lang w:val="en-US" w:eastAsia="zh-CN" w:bidi="ar"/>
              </w:rPr>
              <w:t xml:space="preserve">持鼓棒敲击鼓面即可。</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中虎音锣</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#1.响铜制作，直径330mm，重量1.2kg，优质硬木锣锤，边缘无毛刺，锣面无裂缝，表面抛光氧化处理并涂油；音质无杂音。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AN1-29</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小锣</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#1.响铜制作，直径220mm，重量0.4kg，优质硬木锣锤，边缘无毛刺，锣面无裂缝，表面抛光氧化处理并涂油；音质无杂音。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AN1-30</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铙</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#1.响铜制作，直径270mm，边缘无毛刺，铙面无裂缝，表面抛光氧化处理并涂油；音质无杂音；铙面光、弧度适度、圆度准确、边缘厚度一致，中间的帽形大小和两面的音高要相同，两面为一副。</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钹</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响铜制作，直径150mm，碗径7cm，碗高2cm，重量0.4kg，边缘无毛刺，钹面无裂缝，表面抛光氧化处理并涂油；音质无杂音；钹面光、弧度适度、圆度准确、边缘厚度一致，中间的帽形大小和两面的音高要相同，两面为一副。</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乐谱架</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#1.黑色，金属材质，涂环保漆料，支架高度可调节（支架高度最高约94.5cm不含谱板高度），可折叠。带大网眼专业谱板尺寸长约49cm，宽约35cm。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音乐凳</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技术参数同“AM1-05音乐凳”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寸二分音电路，采用大功率的低频单元，输出强劲、明亮的声音；特殊设计的两只高音结构，声音细腻，清脆悦耳，几何角度的装置方法，有效避免了易啸叫频段，使演唱更为得心应手；侧装的两只高音，加强了声场的反射音，使音色更富有余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#1.输出功率：2X250W/8Ω，4X130W/8Ω；灵敏度：≤220mV ；信噪比：≥80dB ；频率响应：20Hz-20KHz(±2dB)。</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无线话筒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#1.接收技术规格：具有音量显示，数字导频；机箱规格：标准1U；通道组数：双通道。</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52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五线谱电教板</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#1.88键盘全乐理五线谱电教板，可进行音乐全乐理演示及讲解;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#2.嵌入式应用程序，搭载于X86架构的所有操作系统内;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#3.可外接电子琴、电钢琴等键盘设备，通过USB传输MIDI数据，实现硬件设备无限拓展;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#4.88键位全乐理音阶展示，音阶跨度＜大字一组、＞小字四组，并具有上行高亮阶梯显示功能。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#5.88键可弹奏虚拟键盘，具有十指多点触发功能，五线谱区域高亮显示正在弹奏的五线谱音阶。外接电子琴、电钢琴弹奏时，五线谱区域高亮显示正在弹奏的五线谱音阶;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#6.点击五线谱音阶，所对应的虚拟键盘高亮，系统发出相应音高;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#7.五线谱音阶可以一键显隐，隐藏五线谱音阶后，系统将不以上行方式呈现音阶，而以柱式方式显示音阶;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#8.具有全屏幕画笔功能，可将界面变为可书写的电子板书;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#9.具有键位保留系统，在多次弹奏键盘后，系统界面呈现多组高亮的音阶及虚拟键盘，可进行多组和弦对比教学;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#10.系统具有325种高保真音色，并具有开放的音源库，可进行音色拓展;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#11.具有音名显示窗口，可显示当前所弹键位的音名及等音;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#12.具有24种国际通用调式的矩阵选择按键，任意选择调式后，主五线谱显示当前选择调式的调号，并</w:t>
            </w:r>
            <w:r>
              <w:rPr>
                <w:rFonts w:hint="eastAsia" w:ascii="宋体" w:hAnsi="宋体" w:cs="宋体"/>
                <w:i w:val="0"/>
                <w:iCs w:val="0"/>
                <w:color w:val="000000"/>
                <w:sz w:val="21"/>
                <w:szCs w:val="21"/>
                <w:u w:val="none"/>
                <w:lang w:val="en-US" w:eastAsia="zh-CN" w:bidi="ar"/>
              </w:rPr>
              <w:t xml:space="preserve">显示</w:t>
            </w:r>
            <w:r>
              <w:rPr>
                <w:rFonts w:hint="eastAsia" w:ascii="宋体" w:hAnsi="宋体" w:eastAsia="宋体" w:cs="宋体"/>
                <w:i w:val="0"/>
                <w:iCs w:val="0"/>
                <w:color w:val="000000"/>
                <w:sz w:val="21"/>
                <w:szCs w:val="21"/>
                <w:u w:val="none"/>
                <w:lang w:val="en-US" w:eastAsia="zh-CN" w:bidi="ar"/>
              </w:rPr>
              <w:t xml:space="preserve">一个八度的当前调式自然音阶，虚拟键盘将凸显这个八度音阶的键位，凸显的音阶键位随着调式变化而变化；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#13.具有简谱显示功能，弹奏凸显的音阶键位时，屏幕显示该键位及所对应的五线谱音阶在当前调式下的简谱;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具有12种国际通用调式的关系大小调主和弦展示功能，最多显示24种调式，任意选择一种调号，系统将呈现该调号的大调调名及其关系小调的调名，并呈现两种调式的主音三和弦，点击呈现的和弦窗口，系统自动发出该和弦的钢琴乐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显示大调音阶，系统显示12种大调音阶，分别是C、F、降B、降E、降A、降D、升F、B、E、A、D、G大调，选择一种调号后，五线谱按当前大调音阶进行排列，并用不同颜色显示主和弦的三个音，虚拟键盘显示当前大调音阶的一组音阶，并可以显示当前调式的首调式简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显示小调音阶，系统显示12种小调音阶，分别是a、d、g、c、f、降b、升d、升g、升c、升f、b、e小调，选择一种调号后，五线谱按当前小调音阶进行排列，并用不同颜色显示主和弦的三个音，虚拟键盘显示当前小调音阶的一组音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具有24种国际通用调式的主和弦快捷显示窗，选择一种调号后，窗口显示当前调式的大调名称和关系小调名称，并在和弦快捷显示窗显示当前调式的主和弦，可以在当前调号的大调主和弦和关系小调主和弦间任意转换，点击和弦快捷显示窗后，系统发出当前和弦的柱式和弦声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#18.具有音唱名隐藏系统，可以显隐虚拟键盘上的音名、唱名。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#19.具有课件导入系统，可导入乐谱课件。乐谱课件在主显示区悬浮呈现，可通过鼠标拖拽并缩放;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#20.在课件导入后，系统界面显示电子课件，并支持电子课件播放，电子课件可显示课件五线谱及歌词，并能根据五线谱的演奏标记进行播放，可以支持多音轨电子课件播放;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#21.支持电子课件音符的临时修改，可临时修改电子课件中音符的音高;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#22.可设定电子课件的循环播放点。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#23.具有独立的节奏节拍控制系统，可以设定节奏类型及拍速;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#24.具有全面屏五线谱白板系统，可以进行全屏五线谱板书书写。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#25.内置乐理音基教程，不低于52课的专业五线谱识谱课件。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#26.出厂内置1000+乐谱教学课件，适用于我国普教、职教、高教各阶段音乐教学课程。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27.提供五线谱音乐电教板系统软件著作权证书或软件开发商授权书原件扫描件。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0</wp:posOffset>
                      </wp:positionH>
                      <wp:positionV relativeFrom="paragraph">
                        <wp:posOffset>0</wp:posOffset>
                      </wp:positionV>
                      <wp:extent cx="38100" cy="69850"/>
                      <wp:effectExtent l="0" t="0" r="0" b="0"/>
                      <wp:wrapNone/>
                      <wp:docPr id="165" name="图片_1"/>
                      <wp:cNvGraphicFramePr/>
                      <a:graphic xmlns:a="http://schemas.openxmlformats.org/drawingml/2006/main">
                        <a:graphicData uri="http://schemas.openxmlformats.org/drawingml/2006/picture">
                          <pic:pic xmlns:pic="http://schemas.openxmlformats.org/drawingml/2006/picture">
                            <pic:nvPicPr>
                              <pic:cNvPr id="165" name="图片_1"/>
                              <pic:cNvPicPr/>
                              <pic:nvPr/>
                            </pic:nvPicPr>
                            <pic:blipFill>
                              <a:blip r:embed="rId16"/>
                              <a:stretch/>
                            </pic:blipFill>
                            <pic:spPr bwMode="auto">
                              <a:xfrm>
                                <a:off x="0" y="0"/>
                                <a:ext cx="38100" cy="69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24128;o:allowoverlap:true;o:allowincell:true;mso-position-horizontal-relative:text;margin-left:0.0pt;mso-position-horizontal:absolute;mso-position-vertical-relative:text;margin-top:0.0pt;mso-position-vertical:absolute;width:3.0pt;height:5.5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u w:val="none"/>
                <w:lang w:val="en-US" w:eastAsia="zh-CN" w:bidi="ar"/>
              </w:rPr>
              <w:t xml:space="preserve">AN1-38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储物架</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#1.尺寸：（2000*500*2000mm）±5mm；4层；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#2.采用优质冷轧钢板，采用环保材质，无有毒有害物质，钢板厚度：立柱1.5mm，搁板0.8mm，挂板1.8mm，经剪.冲.折专门轧制而成，具有良好的机械特性；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#3.涂层：喷涂层采用优质塑粉，金属喷漆涂层冲击强度应无剥落.裂纹.皱纹，附着力应≥2级，重金属可溶性铅未检出.可溶性镉未检出.可溶性铬未检出.可溶性汞未检出；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#4.层板与立柱之间采用插接式结构，可随意调整每一层板的高度，最小调节量为50mm；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#5.广泛应用于各行各业，适用于零.小部件的存放，每层层板的承载在100KG-150KG以内，货架高度2M以上中间加横梁，最高不超过3M，可根据需求增加侧板与背板.层板隔板；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#6.采用钢层板与万能角钢组合形式，结构轻巧，装配方便。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架</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6"/>
        <w:gridCol w:w="1316"/>
        <w:gridCol w:w="6615"/>
        <w:gridCol w:w="765"/>
        <w:gridCol w:w="666"/>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AO-心理咨询室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1.心理办公室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ffffff"/>
                <w:sz w:val="21"/>
                <w:szCs w:val="21"/>
                <w:u w:val="none"/>
              </w:rPr>
            </w:pPr>
            <w:r>
              <w:rPr>
                <w:rFonts w:hint="eastAsia" w:ascii="宋体" w:hAnsi="宋体" w:eastAsia="宋体" w:cs="宋体"/>
                <w:b/>
                <w:bCs/>
                <w:i w:val="0"/>
                <w:iCs w:val="0"/>
                <w:color w:val="ffffff"/>
                <w:sz w:val="21"/>
                <w:szCs w:val="21"/>
                <w:u w:val="none"/>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规章制度</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#1.心理咨询师的规章制度，及保密原则；整体尺寸：60cm*90 CM；边框颜色：欧白花纹；边框宽度：不少于30mm；边框材质：实木；前</w:t>
            </w:r>
            <w:r>
              <w:rPr>
                <w:rFonts w:hint="eastAsia" w:ascii="宋体" w:hAnsi="宋体" w:cs="宋体"/>
                <w:i w:val="0"/>
                <w:iCs w:val="0"/>
                <w:color w:val="000000"/>
                <w:sz w:val="21"/>
                <w:szCs w:val="21"/>
                <w:u w:val="none"/>
                <w:lang w:val="en-US" w:eastAsia="zh-CN" w:bidi="ar"/>
              </w:rPr>
              <w:t xml:space="preserve">挡板</w:t>
            </w:r>
            <w:r>
              <w:rPr>
                <w:rFonts w:hint="eastAsia" w:ascii="宋体" w:hAnsi="宋体" w:eastAsia="宋体" w:cs="宋体"/>
                <w:i w:val="0"/>
                <w:iCs w:val="0"/>
                <w:color w:val="000000"/>
                <w:sz w:val="21"/>
                <w:szCs w:val="21"/>
                <w:u w:val="none"/>
                <w:lang w:val="en-US" w:eastAsia="zh-CN" w:bidi="ar"/>
              </w:rPr>
              <w:t xml:space="preserve">：有机玻璃；无痕挂钩： 30*15mm。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心理挂图1</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#1.不同心理场景的可供选择的心理挂图：分为催眠图、错觉图、深思图、激励图等；整体尺寸：62*52cm；边框颜色：欧白花纹；边框宽度：不少于3cm；边框材质：实木；前</w:t>
            </w:r>
            <w:r>
              <w:rPr>
                <w:rFonts w:hint="eastAsia" w:ascii="宋体" w:hAnsi="宋体" w:cs="宋体"/>
                <w:i w:val="0"/>
                <w:iCs w:val="0"/>
                <w:color w:val="000000"/>
                <w:sz w:val="21"/>
                <w:szCs w:val="21"/>
                <w:u w:val="none"/>
                <w:lang w:val="en-US" w:eastAsia="zh-CN" w:bidi="ar"/>
              </w:rPr>
              <w:t xml:space="preserve">挡板</w:t>
            </w:r>
            <w:r>
              <w:rPr>
                <w:rFonts w:hint="eastAsia" w:ascii="宋体" w:hAnsi="宋体" w:eastAsia="宋体" w:cs="宋体"/>
                <w:i w:val="0"/>
                <w:iCs w:val="0"/>
                <w:color w:val="000000"/>
                <w:sz w:val="21"/>
                <w:szCs w:val="21"/>
                <w:u w:val="none"/>
                <w:lang w:val="en-US" w:eastAsia="zh-CN" w:bidi="ar"/>
              </w:rPr>
              <w:t xml:space="preserve">：有机玻璃；无痕挂钩： 30*15MM。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#1.形状: 圆形尺寸:  14英寸；机芯类型: 扫秒机芯；动力类型: 电池。</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#1.两人位沙发*2；尺寸：115*70*63cm；材质：高级西皮+PU皮；靠背选用3A级公仔棉；站脚：碳素钢。</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#1.桌面主要基材使用E1级中纤板；桌子封边:天然木皮封边条;桌子油漆:采用水性环保油漆;桌子尺寸:120*60*74cm;办公椅符合人体工学设计；3D悬浮腰托，坐垫加厚；</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#1.语音时间≥10小时；信噪比≥90dB；尺寸97*25*11mm；净重≤70g；</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2.预约等候区</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AO2-01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AI心理数字卡通人</w:t>
            </w:r>
            <w:r/>
          </w:p>
        </w:tc>
        <w:tc>
          <w:tcPr>
            <w:shd w:val="clear" w:color="auto" w:fill="auto"/>
            <w:tcBorders>
              <w:top w:val="single" w:color="000000" w:sz="4" w:space="0"/>
              <w:left w:val="non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一、硬件配置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#1.竖屏，尺寸为55英寸；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#2.整体尺寸为高不低于170厘米，宽不小于60厘米；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二、软件部分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#1.心理咨询：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心理咨询模块依托强大的后端架构，能为用户提供实时咨询服务。支持多方面心理问题咨询，如情绪疏导（焦虑、抑郁、压力）、关系调节（家庭、职场、社交）、发展指导（学业/职业规划）及危机干预（自杀倾向、创伤急救）等，提供文字、语音多形式</w:t>
            </w:r>
            <w:r>
              <w:rPr>
                <w:rFonts w:hint="eastAsia" w:ascii="宋体" w:hAnsi="宋体" w:cs="宋体"/>
                <w:i w:val="0"/>
                <w:iCs w:val="0"/>
                <w:color w:val="000000"/>
                <w:sz w:val="21"/>
                <w:szCs w:val="21"/>
                <w:u w:val="none"/>
                <w:lang w:val="en-US" w:eastAsia="zh-CN" w:bidi="ar"/>
              </w:rPr>
              <w:t xml:space="preserve">咨询</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#2.心理测评：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心理测评模块创新融合人工智能与经典心理学评估体系，通过多维度动态适配技术实现精准心理评估。该模块提供的心理量表，包含心理健康、情绪、学习、人格、社交、生活、职业兴趣测评等，以供用户选择，可以满足不同群体的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#3.冥想放松：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该模块创新性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融合了自然环境沉浸、情绪管理、身体感知、时间场景、艺术融合以及目标导向六大主题,自然环境沉浸主题以逼真的虚拟景观和音效，营造平和氛围，帮助用户缓解压力；‌</w:t>
            </w:r>
            <w:r>
              <w:rPr>
                <w:rStyle w:val="924"/>
                <w:rFonts w:hint="eastAsia" w:ascii="宋体" w:hAnsi="宋体" w:eastAsia="宋体" w:cs="宋体"/>
                <w:sz w:val="21"/>
                <w:szCs w:val="21"/>
                <w:lang w:val="en-US" w:eastAsia="zh-CN" w:bidi="ar"/>
              </w:rPr>
              <w:t xml:space="preserve">情绪管理主题借助引导冥想，让用户识别并调节负面情绪，培养积极情绪状态；</w:t>
            </w:r>
            <w:r>
              <w:rPr>
                <w:rFonts w:hint="eastAsia" w:ascii="宋体" w:hAnsi="宋体" w:eastAsia="宋体" w:cs="宋体"/>
                <w:i w:val="0"/>
                <w:iCs w:val="0"/>
                <w:color w:val="000000"/>
                <w:sz w:val="21"/>
                <w:szCs w:val="21"/>
                <w:u w:val="none"/>
                <w:lang w:val="en-US" w:eastAsia="zh-CN" w:bidi="ar"/>
              </w:rPr>
              <w:t xml:space="preserve">‌</w:t>
            </w:r>
            <w:r>
              <w:rPr>
                <w:rStyle w:val="924"/>
                <w:rFonts w:hint="eastAsia" w:ascii="宋体" w:hAnsi="宋体" w:eastAsia="宋体" w:cs="宋体"/>
                <w:sz w:val="21"/>
                <w:szCs w:val="21"/>
                <w:lang w:val="en-US" w:eastAsia="zh-CN" w:bidi="ar"/>
              </w:rPr>
              <w:t xml:space="preserve">身体感知主题引导用户关注呼吸、肌肉与姿态，定位压力区域并放松；</w:t>
            </w:r>
            <w:r>
              <w:rPr>
                <w:rFonts w:hint="eastAsia" w:ascii="宋体" w:hAnsi="宋体" w:eastAsia="宋体" w:cs="宋体"/>
                <w:i w:val="0"/>
                <w:iCs w:val="0"/>
                <w:color w:val="000000"/>
                <w:sz w:val="21"/>
                <w:szCs w:val="21"/>
                <w:u w:val="none"/>
                <w:lang w:val="en-US" w:eastAsia="zh-CN" w:bidi="ar"/>
              </w:rPr>
              <w:t xml:space="preserve">‌</w:t>
            </w:r>
            <w:r>
              <w:rPr>
                <w:rStyle w:val="924"/>
                <w:rFonts w:hint="eastAsia" w:ascii="宋体" w:hAnsi="宋体" w:eastAsia="宋体" w:cs="宋体"/>
                <w:sz w:val="21"/>
                <w:szCs w:val="21"/>
                <w:lang w:val="en-US" w:eastAsia="zh-CN" w:bidi="ar"/>
              </w:rPr>
              <w:t xml:space="preserve">时间场景主题提供日出、日落等时段场景，让冥想放松契合自然时间节奏；</w:t>
            </w:r>
            <w:r>
              <w:rPr>
                <w:rFonts w:hint="eastAsia" w:ascii="宋体" w:hAnsi="宋体" w:eastAsia="宋体" w:cs="宋体"/>
                <w:i w:val="0"/>
                <w:iCs w:val="0"/>
                <w:color w:val="000000"/>
                <w:sz w:val="21"/>
                <w:szCs w:val="21"/>
                <w:u w:val="none"/>
                <w:lang w:val="en-US" w:eastAsia="zh-CN" w:bidi="ar"/>
              </w:rPr>
              <w:t xml:space="preserve">‌</w:t>
            </w:r>
            <w:r>
              <w:rPr>
                <w:rStyle w:val="924"/>
                <w:rFonts w:hint="eastAsia" w:ascii="宋体" w:hAnsi="宋体" w:eastAsia="宋体" w:cs="宋体"/>
                <w:sz w:val="21"/>
                <w:szCs w:val="21"/>
                <w:lang w:val="en-US" w:eastAsia="zh-CN" w:bidi="ar"/>
              </w:rPr>
              <w:t xml:space="preserve">艺术融合主题将音乐、艺术融入冥想，丰富情感与精神体验；目标导向主题通过明确减压/提升专注力等目标，引导用户在冥想过程中有针对性</w:t>
            </w:r>
            <w:r>
              <w:rPr>
                <w:rStyle w:val="924"/>
                <w:rFonts w:hint="eastAsia" w:ascii="宋体" w:hAnsi="宋体" w:cs="宋体"/>
                <w:sz w:val="21"/>
                <w:szCs w:val="21"/>
                <w:lang w:val="en-US" w:eastAsia="zh-CN" w:bidi="ar"/>
              </w:rPr>
              <w:t xml:space="preserve">地</w:t>
            </w:r>
            <w:r>
              <w:rPr>
                <w:rStyle w:val="924"/>
                <w:rFonts w:hint="eastAsia" w:ascii="宋体" w:hAnsi="宋体" w:eastAsia="宋体" w:cs="宋体"/>
                <w:sz w:val="21"/>
                <w:szCs w:val="21"/>
                <w:lang w:val="en-US" w:eastAsia="zh-CN" w:bidi="ar"/>
              </w:rPr>
              <w:t xml:space="preserve">调整身心状态</w:t>
            </w:r>
            <w:r>
              <w:rPr>
                <w:rStyle w:val="924"/>
                <w:rFonts w:hint="eastAsia" w:ascii="宋体" w:hAnsi="宋体" w:cs="宋体"/>
                <w:sz w:val="21"/>
                <w:szCs w:val="21"/>
                <w:lang w:val="en-US" w:eastAsia="zh-CN" w:bidi="ar"/>
              </w:rPr>
              <w:t xml:space="preserve">；</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#4.心理知识：</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心理知识模块通过</w:t>
            </w:r>
            <w:r>
              <w:rPr>
                <w:rStyle w:val="924"/>
                <w:rFonts w:hint="eastAsia" w:ascii="宋体" w:hAnsi="宋体" w:cs="宋体"/>
                <w:sz w:val="21"/>
                <w:szCs w:val="21"/>
                <w:lang w:val="en-US" w:eastAsia="zh-CN" w:bidi="ar"/>
              </w:rPr>
              <w:t xml:space="preserve">通俗易懂</w:t>
            </w:r>
            <w:r>
              <w:rPr>
                <w:rStyle w:val="924"/>
                <w:rFonts w:hint="eastAsia" w:ascii="宋体" w:hAnsi="宋体" w:eastAsia="宋体" w:cs="宋体"/>
                <w:sz w:val="21"/>
                <w:szCs w:val="21"/>
                <w:lang w:val="en-US" w:eastAsia="zh-CN" w:bidi="ar"/>
              </w:rPr>
              <w:t xml:space="preserve">的科普内容，帮助用户理解常见心理现象的本质规律，结合生活场景输出实用心理策略，最终帮助用户建立基础认知框架，提升自我觉察与问题解决能力</w:t>
            </w:r>
            <w:r>
              <w:rPr>
                <w:rStyle w:val="924"/>
                <w:rFonts w:hint="eastAsia" w:ascii="宋体" w:hAnsi="宋体" w:cs="宋体"/>
                <w:sz w:val="21"/>
                <w:szCs w:val="21"/>
                <w:lang w:val="en-US" w:eastAsia="zh-CN" w:bidi="ar"/>
              </w:rPr>
              <w:t xml:space="preserve">；</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#5.心理视频：</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高效普及心理知识，以直观、生动的形式将抽象的心理知识转化为形象的视觉内容，能快速吸引用户的注意力，使他们更轻松地理解和吸收心理学概念、原理等知识，提高心理健康知识的传播效率和覆盖面</w:t>
            </w:r>
            <w:r>
              <w:rPr>
                <w:rStyle w:val="924"/>
                <w:rFonts w:hint="eastAsia" w:ascii="宋体" w:hAnsi="宋体" w:cs="宋体"/>
                <w:sz w:val="21"/>
                <w:szCs w:val="21"/>
                <w:lang w:val="en-US" w:eastAsia="zh-CN" w:bidi="ar"/>
              </w:rPr>
              <w:t xml:space="preserve">；</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#6.行为训练：</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行为训练能有效提升学生的视觉注意力与集中能力，减少外界干扰，提高学习效率，助力学生在学习与生活中更好地集中精力，提升综合素养。</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75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AO2-02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箱庭设备及管理软件</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箱庭设备是心理咨询室建设必备产品，通过自由的沙具摆放，使来访者的无意识整合到意识中，帮助心理咨询师深入了解来访者的内心世界，广泛应用于心理健康教育、心理咨询等领域的心理放松工作。本产品配备了箱庭管理软件，帮助心理咨询师记录箱庭疗法过程，简化资料记录时间，提高工作效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二、设备参数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#1.沙具架：沙具陈列架两个，材质为松木原木。尺寸：宽120cm×高160 cm×深35cm，6层11阶设计，木本色，清漆涂层；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#2.沙箱：标准个体沙箱一个，材质为松木原木；尺寸：57*72*7cm；颜色为外侧原木本色，内侧为天蓝色；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#3.沙箱腿：整体为整条方木原木制作结构，材质为松木原木制作。高度70－100cm正好适合于手放置沙具的位置；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#4.沙具：1200个，沙具为树脂、陶瓷、聚氨酯材料制造。包含人</w:t>
            </w:r>
            <w:r>
              <w:rPr>
                <w:rFonts w:hint="eastAsia" w:ascii="宋体" w:hAnsi="宋体" w:eastAsia="宋体" w:cs="宋体"/>
                <w:i w:val="0"/>
                <w:iCs w:val="0"/>
                <w:color w:val="000000"/>
                <w:sz w:val="21"/>
                <w:szCs w:val="21"/>
                <w:u w:val="none"/>
                <w:lang w:val="en-US" w:eastAsia="zh-CN" w:bidi="ar"/>
              </w:rPr>
              <w:t xml:space="preserve">物类、交通工具类、动物类、植物类、食品类、家居类、家禽类、宗教类等18大类别；人物类：神话人物、动漫人物、科幻人物、职业人物、偶像人物、恐怖人物等系列；交通工具：豪车、飞机、消防、公安、工程、公交、军事系列；动物类：海洋动物、爬行动物、两栖动物、动漫动物、恐龙等系列；植物类：花、草、树、果实、蔬菜等系列；建筑类：桥、道路、网吧、公安局、医院、厕所、草房、洋房、别墅等系列；食品类：包子、馒头、花卷、面包等系列；家居类：手机、各种家具、家用电器、生活用品等系列；家禽类：鸡、鸭等系列；宗教类：妈祖、大肚佛等系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#5.海沙：15公斤，天然黄色细沙、细腻、高温消毒，手握可以带来极柔软感；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#6.箱庭活动记录本、《箱庭疗法》；操作手册各一本；箱庭活动记录本、分别为个体箱庭制作过程记录表（6份）、团体箱庭制作（2份 共8张）过程记录表；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三、箱庭管理软件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软件安装简便，易操作，可以在本地电脑轻松运行，涵盖沙具管理、个体箱庭、团体箱庭、技术文库、用户管理五大模块。可对个人箱庭、团体箱庭操作过程分别记录，极大地简化了心理咨询师资料记录的工作，以便有更多的精力进行心理个案的研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户管理用户账号管理：管理员可以对注册用户的用户名、性别、年龄等信息进行编辑、统一管理，不同的角色具有软件使用的不同权限，极大地保证了用户信息安全。支持按照用户名、注册时间筛选数据，查询用户信息。账号信息修改：为了用户信息管理，管理员用户具有管理所有用户账号信息的权限，可对账号的密码及其他信息进行修改，防止用户遗忘密码无法登录的问题发生。管理员可以对用户进行添加，也可对来访者进行转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个体箱庭管理模块内包含了查看详细信息和添加箱庭记录的功能。可以查看、添加箱庭实操的时间、箱庭沙具摆放顺序、完成时间、沙具移动次数、记录照片等功能。操作简单，便于心理咨询师快速熟悉使用本软件，模块内可以按照用户名对箱庭记录进行检索，让心理咨询师在繁杂的数据中快速查找到数据记录，更加系统性地研究数据资料，也可对记录进行删除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团体箱庭管理模块内包含了查看详细信息和添加箱庭记录的功能。可以查看和添加制作时间、总用时、见证人、组别/次数、记录照片、第一次沙具或动作到第八次沙具或动作的记录，以及合计沙具数，并记录制作者。充分考虑团体箱庭</w:t>
            </w:r>
            <w:r>
              <w:rPr>
                <w:rFonts w:hint="eastAsia" w:ascii="宋体" w:hAnsi="宋体" w:eastAsia="宋体" w:cs="宋体"/>
                <w:i w:val="0"/>
                <w:iCs w:val="0"/>
                <w:color w:val="000000"/>
                <w:sz w:val="21"/>
                <w:szCs w:val="21"/>
                <w:u w:val="none"/>
                <w:lang w:val="en-US" w:eastAsia="zh-CN" w:bidi="ar"/>
              </w:rPr>
              <w:t xml:space="preserve">放松中所需记录的数据种类，保证记录报告的完整性，模块内也包含了团体箱庭讨论功能，包含了查看详细信息和添加箱庭讨论记录的功能。可以查看和添加制作时间、总用时、见证人、组别/次数、个人主题、讨论内容、制作者的信息等内容。制作者记录团体箱庭活动过程，便于咨询师对于箱庭实操过程的记录。可以记录团体箱庭沙具摆放顺序、意图、感受、构思等讨论内容，心理咨询师深入分析团体在实操过程中的心路历程和成长变化，模块内可以按照用户名、时间范围对箱庭记录进行检索，心理咨询师在繁杂的数据中快速查找到数据记录，更加系统性地研究数据资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#5.沙具管理咨询师可以按照自定义类别，添加沙具图片、名称、数量等信息，便于咨询师对沙具的记录和管理；可以通过沙具名来进行搜索。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#6.技术文库支持按照标题、发布时间筛选数据，查询信息，可以添加、修改技术文库，添加、修改封面图片、标题、类别、内容等数据，也可对文库角色进行类别管理。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AO2-03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书籍</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#1.心理类书籍，杂志等。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AO2-04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#1.材质：木制部分为E2级11密度板+E2级15密度板或纯木板，厚度不低于1.5cm，上方柜门为对开柜门，需带钢化玻璃；表面工艺：三聚氰胺贴面；颜色：原木色或橡木色；层数：3层，上下</w:t>
            </w:r>
            <w:r>
              <w:rPr>
                <w:rFonts w:hint="eastAsia" w:ascii="宋体" w:hAnsi="宋体" w:cs="宋体"/>
                <w:i w:val="0"/>
                <w:iCs w:val="0"/>
                <w:color w:val="000000"/>
                <w:sz w:val="21"/>
                <w:szCs w:val="21"/>
                <w:u w:val="none"/>
                <w:lang w:val="en-US" w:eastAsia="zh-CN" w:bidi="ar"/>
              </w:rPr>
              <w:t xml:space="preserve">两层</w:t>
            </w:r>
            <w:r>
              <w:rPr>
                <w:rFonts w:hint="eastAsia" w:ascii="宋体" w:hAnsi="宋体" w:eastAsia="宋体" w:cs="宋体"/>
                <w:i w:val="0"/>
                <w:iCs w:val="0"/>
                <w:color w:val="000000"/>
                <w:sz w:val="21"/>
                <w:szCs w:val="21"/>
                <w:u w:val="none"/>
                <w:lang w:val="en-US" w:eastAsia="zh-CN" w:bidi="ar"/>
              </w:rPr>
              <w:t xml:space="preserve">为柜子，中间为抽屉，所有柜子需带把手；尺寸：180*40*140cm。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AO2-05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组合沙发</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#1.两人位沙发*2；尺寸：115*70*63cm；材质：高级西皮+PU皮；靠背选用3A级公仔棉；站脚：碳素钢。</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3.心理自助空间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2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AO3-01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心理自助系统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心理自助系统采用B/S架构设计，集训练、测试，放松，知识介绍于一体，对提升注意力、自学放松模式、专业量表科学测试都有很大的帮助。系统包含中心介绍、中心活动、心理音乐、心理视频、心理知识、放松训练、心理测量、行为训练八大模块</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软件既可以满足通过互联网</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到本单位的网站上，也可以满足在局域网运行，保证系统的安全性。咨询师可通过办公电脑实时对自助系统内容进行更新与维护，可以根据使用单位性质，从心理学角度出发，设计能展现单位心理健康工作风采的网站软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二、产品硬件：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#1.32英寸防爆触摸屏，具有高透明度，高透光率等特点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#2.可承受超过60000000次以上的单点触摸</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#3.触摸屏表面汽车烤漆，防磁、防静电、内置风扇、功放</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#4.音响采用双声道，立体声环绕功放系统，功率：2x2W频响：20Hz~20KHz;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#5.网络接口为RJ45或RJ11;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#6.工业abs材质外壳，展示平台主体颜色为天蓝色。柜体为天蓝色与白色嵌合式设计，正前方整体外观为2个长椭圆形的合拢式设计。触摸屏到地面的高度不少于700mm，长度不少于725mm，宽度不少于435mm;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#7.展示平台遵循人性化设计，触摸屏可以仰角、俯角调节，也可以左右移动，不同身高的人群使用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#8.两侧装有蓝白相间的扶手，并采用环绕式设计，可各种方位移动设备。扶手总长度不少于1100mm，宽度不少于10mm。底部装有塑胶万向轮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三、软件部分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#1.系统架构：系统采用B/S架构。采用浏览器+应用服务器+数据库的多架构运行模式，能够兼容在不同的操作系统上运行，支持庞大用户量和数据量。客户端无需安装，以IE 等浏览器为操作界面，并兼容SOGOU、360、Firefox浏览器等</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数据库：适合大容量数据的应用，并具备开发的灵活性、可扩展性、可用存储过程、函数等方面强大功能。数据库具有伸缩性，可跨越多平台使用，对Web技术支持，使用户能够很容易地将数据库中的数据发布到Web页面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四、系统功能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#1.中心介绍用于对本单位心理咨询中心进行宣传，展示本单位心理健康特色</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#2.中心活动展示本单位开展的心理活动内容，使用者可以在活动中观察、学习、体验。通过</w:t>
            </w:r>
            <w:r>
              <w:rPr>
                <w:rFonts w:hint="eastAsia" w:ascii="宋体" w:hAnsi="宋体" w:cs="宋体"/>
                <w:i w:val="0"/>
                <w:iCs w:val="0"/>
                <w:color w:val="000000"/>
                <w:sz w:val="21"/>
                <w:szCs w:val="21"/>
                <w:u w:val="none"/>
                <w:lang w:val="en-US" w:eastAsia="zh-CN" w:bidi="ar"/>
              </w:rPr>
              <w:t xml:space="preserve">开展</w:t>
            </w:r>
            <w:r>
              <w:rPr>
                <w:rFonts w:hint="eastAsia" w:ascii="宋体" w:hAnsi="宋体" w:eastAsia="宋体" w:cs="宋体"/>
                <w:i w:val="0"/>
                <w:iCs w:val="0"/>
                <w:color w:val="000000"/>
                <w:sz w:val="21"/>
                <w:szCs w:val="21"/>
                <w:u w:val="none"/>
                <w:lang w:val="en-US" w:eastAsia="zh-CN" w:bidi="ar"/>
              </w:rPr>
              <w:t xml:space="preserve">心理活动，进而达到认识自我、探索自我、调整和改善人际关系的目的;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心理音乐可以帮助使用者调节情绪，也可以通过音乐抒发情感，使情绪得到释放,系统将心理音乐，以安静、古典、欢乐、抒情、放松，五种类别进行展示，以满足用户可根据自身情况选择合适的音乐聆听，从而缓解精神疲惫，达到身心放松的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心理视频是新媒体和心理知识的融合，采用新颖有趣的讲解风格，将心理知识以亲身经验分享、幽默情景剧、专家解说等的方式，进行科普宣传。向使用者传达正确的人生态度、价值观，帮助使用者正确看待和解决心理问题，获得自我成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#5.心理知识帮助使用者了解心理健康知识，传播心理健康理念，增强心理健康意识，达到了解自我心理，提升心理素质水平的目的。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系统提供心理科普、情绪调节、健康教育、个性分析这四类专业的、系统的心理科普知识，可以让使用者获取知识的同时，唤起他们对心理健康的关注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#6.放松训练提供了减压放松的学习视频，使用者通过视频跟练的方式，能主动学习和掌握心理</w:t>
            </w:r>
            <w:r>
              <w:rPr>
                <w:rFonts w:hint="eastAsia" w:ascii="宋体" w:hAnsi="宋体" w:cs="宋体"/>
                <w:i w:val="0"/>
                <w:iCs w:val="0"/>
                <w:color w:val="000000"/>
                <w:sz w:val="21"/>
                <w:szCs w:val="21"/>
                <w:u w:val="none"/>
                <w:lang w:val="en-US" w:eastAsia="zh-CN" w:bidi="ar"/>
              </w:rPr>
              <w:t xml:space="preserve">性</w:t>
            </w:r>
            <w:r>
              <w:rPr>
                <w:rFonts w:hint="eastAsia" w:ascii="宋体" w:hAnsi="宋体" w:eastAsia="宋体" w:cs="宋体"/>
                <w:i w:val="0"/>
                <w:iCs w:val="0"/>
                <w:color w:val="000000"/>
                <w:sz w:val="21"/>
                <w:szCs w:val="21"/>
                <w:u w:val="none"/>
                <w:lang w:val="en-US" w:eastAsia="zh-CN" w:bidi="ar"/>
              </w:rPr>
              <w:t xml:space="preserve">放松技巧，从而通过缓解肌肉紧张达到放松情绪的状态。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提供三种真人教学放松课程，包含想象感受训练法、阿尔法状态法、基本渐进式肌肉放松法。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#7.心理测量提供自助式心理测评，为不同群体的用户增加了了解自我心理健康状态的一种方式和途径。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系统内包含心理健康、情绪、学习、人格、社交、生活、职业兴趣测评等16种专业心理量表，如：症状自评量表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SCL-90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、贝克焦虑量表BAI、宗</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Zung</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氏焦虑自评量表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SAS</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等，便于用户选择，且可以多维度评估心理状态水平。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行为训练自助式的行为训练旨在通过具有专业性且针对性强的训练，让使用者在注意力、记忆力、思维等能力的水平上得到强化和提高。包含舒尔特方格、方位知觉、划消测验、记忆广度、数字再认等八种训练内容，提供训练说明，便于用户操作，真正做到自主自助式的训练</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#9.系统后台分为权限管理、量表信息管理、测试数据管理、系统资源管理四个模块</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内置多角色层级用户，管理员可以添加角色分类并配置权限，以满足不同类别的用户群体的需求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用户</w:t>
            </w:r>
            <w:r>
              <w:rPr>
                <w:rFonts w:hint="eastAsia" w:ascii="宋体" w:hAnsi="宋体" w:cs="宋体"/>
                <w:i w:val="0"/>
                <w:iCs w:val="0"/>
                <w:color w:val="000000"/>
                <w:sz w:val="21"/>
                <w:szCs w:val="21"/>
                <w:u w:val="none"/>
                <w:lang w:val="en-US" w:eastAsia="zh-CN" w:bidi="ar"/>
              </w:rPr>
              <w:t xml:space="preserve">管理员</w:t>
            </w:r>
            <w:r>
              <w:rPr>
                <w:rFonts w:hint="eastAsia" w:ascii="宋体" w:hAnsi="宋体" w:eastAsia="宋体" w:cs="宋体"/>
                <w:i w:val="0"/>
                <w:iCs w:val="0"/>
                <w:color w:val="000000"/>
                <w:sz w:val="21"/>
                <w:szCs w:val="21"/>
                <w:u w:val="none"/>
                <w:lang w:val="en-US" w:eastAsia="zh-CN" w:bidi="ar"/>
              </w:rPr>
              <w:t xml:space="preserve">可以对注册用户的用户名、年龄、性别、邮箱等信息进行编辑、统一管理。支持按照用户名、年龄范围、角色，进行快速筛选。为了管理，管理员具有最高权限，可管理下属所有用户数据。量表分类管理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表可分为人格类、心理健康类、社交类、学习类等不同种类，突出测量侧重点，也便于管理员进行管理。量表管理展示前台16种不同类别量表信息，包含量表名、简介、指导语、量表类别，支持管理员对量表进行排序，可设置量表和测试结果的</w:t>
            </w:r>
            <w:r>
              <w:rPr>
                <w:rFonts w:hint="eastAsia" w:ascii="宋体" w:hAnsi="宋体" w:eastAsia="宋体" w:cs="宋体"/>
                <w:i w:val="0"/>
                <w:iCs w:val="0"/>
                <w:color w:val="000000"/>
                <w:sz w:val="21"/>
                <w:szCs w:val="21"/>
                <w:u w:val="none"/>
                <w:lang w:val="en-US" w:eastAsia="zh-CN" w:bidi="ar"/>
              </w:rPr>
              <w:t xml:space="preserve">开启、关闭操作。测试数据管理记录用户测试数据，包含：用户名、年龄、性别、量表名、测试用时、测试时间等信息。支持对测试数据，批量导出Excel和Word两种不同格式；管理员可查看用户测试报告，测试报告涵盖测试用户的个人信息，测试数据等。 测试数据统计可根据量表名，统计测试用户人次、用户年龄区间等信息，生成图文并茂的统计报告，支持管理员对统计报告的导出操作。系统资源管理管理员可上传图片，支持对本单位信息，进行编辑。中心活动管理员可根据本单位开展的心理活动，对活动图片和内容，进行添加，展示本单位特色风采。心理音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管理员可上传五类心理音乐资源，对音乐名称进行编辑，对音乐类别进行选择，支持按照名称和类别，进行筛选。心理视频管理员可上传心理视频资源，对视频名称进行编辑，支持按名称进行查询。心理知识管理员可上传四类心理知识文章资源，对标题、图片、内容进行编辑，支持按标题和类别，进行筛选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w:t>
            </w:r>
            <w:r>
              <w:rPr>
                <w:rStyle w:val="926"/>
                <w:rFonts w:hint="eastAsia" w:ascii="宋体" w:hAnsi="宋体" w:eastAsia="宋体" w:cs="宋体"/>
                <w:sz w:val="21"/>
                <w:szCs w:val="21"/>
                <w:lang w:val="en-US" w:eastAsia="zh-CN" w:bidi="ar"/>
              </w:rPr>
              <w:t xml:space="preserve">提供产品软件著作权登记证书或软件开发商授权书原件扫描件。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178"/>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AO3-02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智能3D电子沙盘系统（专业版）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afterAutospacing="0"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一、软件介绍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d心理电子沙盘采用专业的渲染引擎技术，可快速创建强大视听效果的交互式3D内容，以模拟现实的三维呈现效果，将沙具以电子的方式展现在使用者面前，具备生动形象的沙具展示效果。此款产品不受地域、空间的限制，可以满足更多客户的个性化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二、产品硬件配置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D电子沙盘主体采用可升降、可移动的结构设计。外观选用蓝白配色，底座为三角形个性化造型，实用美观。机身配置上升、下降、开关机不锈钢按钮，可以根据不同人群使用，自主调节高度。同时也可以使用遥控器，远程控制电子沙盘的上升与下降</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#2.机器内嵌不小于42英寸红外防爆触摸屏，具有高透明度，高强度，高透光率等特点。可承受超过60 000 000次以上的单点触摸，高灵敏度，不延迟</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#3.电子沙盘整体尺寸为，长不</w:t>
            </w:r>
            <w:r>
              <w:rPr>
                <w:rFonts w:hint="eastAsia" w:ascii="宋体" w:hAnsi="宋体" w:cs="宋体"/>
                <w:i w:val="0"/>
                <w:iCs w:val="0"/>
                <w:color w:val="000000"/>
                <w:sz w:val="21"/>
                <w:szCs w:val="21"/>
                <w:u w:val="none"/>
                <w:lang w:val="en-US" w:eastAsia="zh-CN" w:bidi="ar"/>
              </w:rPr>
              <w:t xml:space="preserve">小于</w:t>
            </w:r>
            <w:r>
              <w:rPr>
                <w:rFonts w:hint="eastAsia" w:ascii="宋体" w:hAnsi="宋体" w:eastAsia="宋体" w:cs="宋体"/>
                <w:i w:val="0"/>
                <w:iCs w:val="0"/>
                <w:color w:val="000000"/>
                <w:sz w:val="21"/>
                <w:szCs w:val="21"/>
                <w:u w:val="none"/>
                <w:lang w:val="en-US" w:eastAsia="zh-CN" w:bidi="ar"/>
              </w:rPr>
              <w:t xml:space="preserve">为110cm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宽不</w:t>
            </w:r>
            <w:r>
              <w:rPr>
                <w:rFonts w:hint="eastAsia" w:ascii="宋体" w:hAnsi="宋体" w:cs="宋体"/>
                <w:i w:val="0"/>
                <w:iCs w:val="0"/>
                <w:color w:val="000000"/>
                <w:sz w:val="21"/>
                <w:szCs w:val="21"/>
                <w:u w:val="none"/>
                <w:lang w:val="en-US" w:eastAsia="zh-CN" w:bidi="ar"/>
              </w:rPr>
              <w:t xml:space="preserve">小于</w:t>
            </w:r>
            <w:r>
              <w:rPr>
                <w:rFonts w:hint="eastAsia" w:ascii="宋体" w:hAnsi="宋体" w:eastAsia="宋体" w:cs="宋体"/>
                <w:i w:val="0"/>
                <w:iCs w:val="0"/>
                <w:color w:val="000000"/>
                <w:sz w:val="21"/>
                <w:szCs w:val="21"/>
                <w:u w:val="none"/>
                <w:lang w:val="en-US" w:eastAsia="zh-CN" w:bidi="ar"/>
              </w:rPr>
              <w:t xml:space="preserve">72cm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高最低可以降至72cm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最高可以升高至100cm。白色梯形体底座，上底长不少于50cm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下底长不少于88cm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高不少于40cm。底座安装耐磨胶轮，方便移动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#4.电子沙盘四边边角为梯形设计，避免锋利边缘，个性化设计的同时兼具防碰撞保护作用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#5.冷轧钢制柜体，表面进口金属烤漆，采用安全环保烤漆工艺，防磁、防静电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#6.钣金工艺，硬度高，具有良好的抗腐蚀性和抗氧化性，耐磨、防潮、防变形，使用期限长。易清洁，方便日常维护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三、3D心理电子沙盘管理系统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#1.用户模块管理员可以对注册用户的用户名、性别、联系电话等信息进行编辑、统一管理。不同的用户具有不同的用户管理权限。支持按照用户名筛选数据，查询用户信息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账号信息修改：为了进行用户信息管理，管理员用户具有管理所有用户账号信息的权限，可对账号的密码及其他信息进行修改，防止用户遗忘密码无法登录的问题发生</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#2.环境设置突破了传统实体沙盘受场景制约限制的弊端，用户可根据心情、喜好选择相应场景，给使用者带来高沉浸感体验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系统内含</w:t>
            </w:r>
            <w:r>
              <w:rPr>
                <w:rFonts w:hint="eastAsia" w:ascii="宋体" w:hAnsi="宋体" w:cs="宋体"/>
                <w:i w:val="0"/>
                <w:iCs w:val="0"/>
                <w:color w:val="000000"/>
                <w:sz w:val="21"/>
                <w:szCs w:val="21"/>
                <w:u w:val="none"/>
                <w:lang w:val="en-US" w:eastAsia="zh-CN" w:bidi="ar"/>
              </w:rPr>
              <w:t xml:space="preserve">多种</w:t>
            </w:r>
            <w:r>
              <w:rPr>
                <w:rFonts w:hint="eastAsia" w:ascii="宋体" w:hAnsi="宋体" w:eastAsia="宋体" w:cs="宋体"/>
                <w:i w:val="0"/>
                <w:iCs w:val="0"/>
                <w:color w:val="000000"/>
                <w:sz w:val="21"/>
                <w:szCs w:val="21"/>
                <w:u w:val="none"/>
                <w:lang w:val="en-US" w:eastAsia="zh-CN" w:bidi="ar"/>
              </w:rPr>
              <w:t xml:space="preserve">环境可以供用户选择训练，可在沙具摆放过程中身临其境般感受春、夏、秋、冬、下雨天、下雪天等环境变化</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#3.沙具室具备庞大3D数据库，内含原型、动物、交通工具、建筑、人物类等不少于10大分类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用户可以直接拖动任一沙具到虚拟沙盘内，并支持可对任一沙具可以进行拖动、旋转、放大缩小。操作简单便捷，让用户从不同角度观察、感受沙具</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支持笔触画沙堆、河流和一键复原的功能，突破传统电子沙盘的局限，能够在沙盘上随意制作水域，例如绘成河流或者湖泊，让来访者情感精确表达，帮助心理咨询师更加全面、专业研究使用用户的心理状态</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#4.知识库包含图片知识、文字知识和视频知识三大部分，有助于用户</w:t>
            </w:r>
            <w:r>
              <w:rPr>
                <w:rFonts w:hint="eastAsia" w:ascii="宋体" w:hAnsi="宋体" w:cs="宋体"/>
                <w:i w:val="0"/>
                <w:iCs w:val="0"/>
                <w:color w:val="000000"/>
                <w:sz w:val="21"/>
                <w:szCs w:val="21"/>
                <w:u w:val="none"/>
                <w:lang w:val="en-US" w:eastAsia="zh-CN" w:bidi="ar"/>
              </w:rPr>
              <w:t xml:space="preserve">更好地了解</w:t>
            </w:r>
            <w:r>
              <w:rPr>
                <w:rFonts w:hint="eastAsia" w:ascii="宋体" w:hAnsi="宋体" w:eastAsia="宋体" w:cs="宋体"/>
                <w:i w:val="0"/>
                <w:iCs w:val="0"/>
                <w:color w:val="000000"/>
                <w:sz w:val="21"/>
                <w:szCs w:val="21"/>
                <w:u w:val="none"/>
                <w:lang w:val="en-US" w:eastAsia="zh-CN" w:bidi="ar"/>
              </w:rPr>
              <w:t xml:space="preserve">沙盘疗法和心理健康相关知识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管理员用户可对知识库内资源自主编辑、添加，打造具有本单位风采的专属数据库</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#5.数据分析配备沙具移动的文字与视频记录，以便咨询师及时查询与记录当时情况，</w:t>
            </w:r>
            <w:r>
              <w:rPr>
                <w:rFonts w:hint="eastAsia" w:ascii="宋体" w:hAnsi="宋体" w:cs="宋体"/>
                <w:i w:val="0"/>
                <w:iCs w:val="0"/>
                <w:color w:val="000000"/>
                <w:sz w:val="21"/>
                <w:szCs w:val="21"/>
                <w:u w:val="none"/>
                <w:lang w:val="en-US" w:eastAsia="zh-CN" w:bidi="ar"/>
              </w:rPr>
              <w:t xml:space="preserve">更好地</w:t>
            </w:r>
            <w:r>
              <w:rPr>
                <w:rFonts w:hint="eastAsia" w:ascii="宋体" w:hAnsi="宋体" w:eastAsia="宋体" w:cs="宋体"/>
                <w:i w:val="0"/>
                <w:iCs w:val="0"/>
                <w:color w:val="000000"/>
                <w:sz w:val="21"/>
                <w:szCs w:val="21"/>
                <w:u w:val="none"/>
                <w:lang w:val="en-US" w:eastAsia="zh-CN" w:bidi="ar"/>
              </w:rPr>
              <w:t xml:space="preserve">分析研究用户心理状态</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系统自动出具电子沙盘心理分析报告，报告内容分为基本信息、阅读说明、来访者评价、作品截图、作品概况、移动/摆放列表、沙具意义分析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提供对异常过程及结果的预警功能，当出现预警时，重点关注用户的心理状态，同时也应考虑沙盘作品无效的可能性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报告中提供用户两次操作之间时间间隔较长时的提示功能，便于心理咨询师对这类操作</w:t>
            </w:r>
            <w:r>
              <w:rPr>
                <w:rFonts w:hint="eastAsia" w:ascii="宋体" w:hAnsi="宋体" w:cs="宋体"/>
                <w:i w:val="0"/>
                <w:iCs w:val="0"/>
                <w:color w:val="000000"/>
                <w:sz w:val="21"/>
                <w:szCs w:val="21"/>
                <w:u w:val="none"/>
                <w:lang w:val="en-US" w:eastAsia="zh-CN" w:bidi="ar"/>
              </w:rPr>
              <w:t xml:space="preserve">可以</w:t>
            </w:r>
            <w:r>
              <w:rPr>
                <w:rFonts w:hint="eastAsia" w:ascii="宋体" w:hAnsi="宋体" w:eastAsia="宋体" w:cs="宋体"/>
                <w:i w:val="0"/>
                <w:iCs w:val="0"/>
                <w:color w:val="000000"/>
                <w:sz w:val="21"/>
                <w:szCs w:val="21"/>
                <w:u w:val="none"/>
                <w:lang w:val="en-US" w:eastAsia="zh-CN" w:bidi="ar"/>
              </w:rPr>
              <w:t xml:space="preserve">给予重点关注。提供用户信息的录入、保存、批量导入、排序等功能，同时可以查看特定用户的历次沙盘作品分析报告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#6.帮助中心详细且系统</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介绍了本软件的相关注意事项，帮助用户更好、更快的适应软件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#7.系统设置可对设备音量、视频长度等功能进行个性化调节，打造良好的用户体验。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AO3-03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标准版实木心理沙盘</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#1.产品组成：1、个体实木心理沙盘1个：规格长度72cm*宽度57cm*高度7cm，材质为橡木板材，内侧蓝色；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#2.团体实木心理沙盘1个：规格长度114cm*宽度72cm*高10cm，材质为橡木板材，内侧蓝色；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#3.沙具1500件：由人物类、宗教类、死亡类、文体类、食物类、家居类、交通类、军事类、建筑类、动物类、植物类、自然物类、名胜古迹类、颜色形状类、符号及钱币类15大类组成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#4.沙具摆放架4个：高度约160cm*宽度约80cm*深度约30cm；橡木板材，9层设计；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#5.细沙45KG：天然细沙、颗粒光滑、大小均匀、手感好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#6.沙盘游戏书籍1本、精选原色水洗砂20公斤（颗粒光滑、大小均匀、高温消毒）、沙具选取框：沙具选取框2个+清理刷2个；沙盘游戏管理系统1套：（1、可分类对沙盘训练</w:t>
            </w:r>
            <w:r>
              <w:rPr>
                <w:rFonts w:hint="eastAsia" w:ascii="宋体" w:hAnsi="宋体" w:cs="宋体"/>
                <w:i w:val="0"/>
                <w:iCs w:val="0"/>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
              </w:rPr>
              <w:t xml:space="preserve">析图片、视频以及文字资料进行管理。可以进行连续性对比观察分析、来访者信息管理：用于添加来访者的个人信息，可批量导入、沙游信息管理：可对用户资料，沙盘信息进行编辑及删除操作、管理沙盘信息：可对沙盘游戏记录进行查看、修改和删除的操作、系统内置沙具意向词典详细解析，可自行添加，修改，删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与心育平台进行对接学习心理沙盘游戏教学视频内容包括但不限于（沙盘游戏初体验和自我察觉、沙盘治疗为何有效、沙盘游戏的设置及操作性意义、个体沙盘实操的体验和督导、沙盘游戏的心理学原理、沙盘游戏咨询师的要求与素养、个体沙盘作品的评估与分析、不同年龄段阶段儿童青少年的沙游作品特征、沙盘游戏在心理辅导中的应用、团体沙盘游戏操作技术、沙盘游戏</w:t>
            </w:r>
            <w:r>
              <w:rPr>
                <w:rFonts w:hint="eastAsia" w:ascii="宋体" w:hAnsi="宋体" w:cs="宋体"/>
                <w:i w:val="0"/>
                <w:iCs w:val="0"/>
                <w:color w:val="000000"/>
                <w:sz w:val="21"/>
                <w:szCs w:val="21"/>
                <w:u w:val="none"/>
                <w:lang w:val="en-US" w:eastAsia="zh-CN" w:bidi="ar"/>
              </w:rPr>
              <w:t xml:space="preserve">在</w:t>
            </w:r>
            <w:r>
              <w:rPr>
                <w:rFonts w:hint="eastAsia" w:ascii="宋体" w:hAnsi="宋体" w:eastAsia="宋体" w:cs="宋体"/>
                <w:i w:val="0"/>
                <w:iCs w:val="0"/>
                <w:color w:val="000000"/>
                <w:sz w:val="21"/>
                <w:szCs w:val="21"/>
                <w:u w:val="none"/>
                <w:lang w:val="en-US" w:eastAsia="zh-CN" w:bidi="ar"/>
              </w:rPr>
              <w:t xml:space="preserve">情商智商方面的应用、团体沙盘游戏的操作和督导、沙盘游戏在家庭关系治疗中的应用、团体沙盘游戏中可能的问题及应对方法）。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4.宣泄室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5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AO4-01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智能多维呐喊宣泄系统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一、硬件参数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#1.宣泄机柜总高1780mm（±50mm），整体颜色天蓝色，材质为ABS，烤漆，防腐蚀、耐磨、防静电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机柜内嵌≥42寸触摸显示屏，厚度为100mm（±5mm）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操作控制台，为内嵌式21.5英寸触摸屏，主机配置为≥ 4G内存； ≥500G硬盘，键盘、隐藏式设计，使用时可以抽取使用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二、功能特点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#1.模式选择包含人际关系、学习压力、考试压力、新环境压力、婚姻压力、父母压力、工作压力、分离压力八大主题， 使用者可以通过系统选择符合自己情绪的呐喊宣泄主题进行单次训练或者多次训练。每个主题设置相匹配的音乐以及正向引导语，帮助使用者针对性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宣泄情绪，重拾信心</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系统智能分析使用者的宣泄行为（包括呐喊分贝、持续时长等数值），判断出其情绪宣泄的程度，进而有针对性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进行智能化的正向语音引导、激励。使用者在宣泄过程中，可以通过即时的数字展现、图形变化及光影反馈，感受到强烈的视觉效果，拥有完美的用户体验。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#2.资源共享系统自带专业的放松音乐，包含钢琴音乐、吉他音乐、舒缓减压音乐、轻松音乐、安静音乐、欢乐音乐、温馨音乐、古典音乐不同类型的放松音乐供使用者选择，以满足用户的不同种类需求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系统自带包括腹式呼吸法、基本渐进式肌肉放松法 、意念式呼吸法等真人放松引导视频，帮助消除使用者生理和心理方面的紧张情绪，可帮助使用者提高健康水平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内置儿童心理学、人格心理学等知识内容，帮助用户了解专业的心理学知识，以便使用单位更好地开展心理健康工作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#3.查看报告系统自动生成宣泄报告，报告含有基本信息、呐喊波形、均值、最大值、最小值、评价等内容，管理员可查看、导出所用用户的测试信息，以便对比分析数据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具有智能评价功能，可根据用户的宣泄数据，</w:t>
            </w:r>
            <w:r>
              <w:rPr>
                <w:rFonts w:hint="eastAsia" w:ascii="宋体" w:hAnsi="宋体" w:cs="宋体"/>
                <w:i w:val="0"/>
                <w:iCs w:val="0"/>
                <w:color w:val="000000"/>
                <w:sz w:val="21"/>
                <w:szCs w:val="21"/>
                <w:u w:val="none"/>
                <w:lang w:val="en-US" w:eastAsia="zh-CN" w:bidi="ar"/>
              </w:rPr>
              <w:t xml:space="preserve">针对性地</w:t>
            </w:r>
            <w:r>
              <w:rPr>
                <w:rFonts w:hint="eastAsia" w:ascii="宋体" w:hAnsi="宋体" w:eastAsia="宋体" w:cs="宋体"/>
                <w:i w:val="0"/>
                <w:iCs w:val="0"/>
                <w:color w:val="000000"/>
                <w:sz w:val="21"/>
                <w:szCs w:val="21"/>
                <w:u w:val="none"/>
                <w:lang w:val="en-US" w:eastAsia="zh-CN" w:bidi="ar"/>
              </w:rPr>
              <w:t xml:space="preserve">生成评语及建议，引导使用者如何</w:t>
            </w:r>
            <w:r>
              <w:rPr>
                <w:rFonts w:hint="eastAsia" w:ascii="宋体" w:hAnsi="宋体" w:cs="宋体"/>
                <w:i w:val="0"/>
                <w:iCs w:val="0"/>
                <w:color w:val="000000"/>
                <w:sz w:val="21"/>
                <w:szCs w:val="21"/>
                <w:u w:val="none"/>
                <w:lang w:val="en-US" w:eastAsia="zh-CN" w:bidi="ar"/>
              </w:rPr>
              <w:t xml:space="preserve">更好地</w:t>
            </w:r>
            <w:r>
              <w:rPr>
                <w:rFonts w:hint="eastAsia" w:ascii="宋体" w:hAnsi="宋体" w:eastAsia="宋体" w:cs="宋体"/>
                <w:i w:val="0"/>
                <w:iCs w:val="0"/>
                <w:color w:val="000000"/>
                <w:sz w:val="21"/>
                <w:szCs w:val="21"/>
                <w:u w:val="none"/>
                <w:lang w:val="en-US" w:eastAsia="zh-CN" w:bidi="ar"/>
              </w:rPr>
              <w:t xml:space="preserve">释放压力，摆脱焦虑、抑郁等负面情绪；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#4.用户</w:t>
            </w:r>
            <w:r>
              <w:rPr>
                <w:rFonts w:hint="eastAsia" w:ascii="宋体" w:hAnsi="宋体" w:cs="宋体"/>
                <w:i w:val="0"/>
                <w:iCs w:val="0"/>
                <w:color w:val="000000"/>
                <w:sz w:val="21"/>
                <w:szCs w:val="21"/>
                <w:u w:val="none"/>
                <w:lang w:val="en-US" w:eastAsia="zh-CN" w:bidi="ar"/>
              </w:rPr>
              <w:t xml:space="preserve">管理</w:t>
            </w:r>
            <w:r>
              <w:rPr>
                <w:rFonts w:hint="eastAsia" w:ascii="宋体" w:hAnsi="宋体" w:eastAsia="宋体" w:cs="宋体"/>
                <w:i w:val="0"/>
                <w:iCs w:val="0"/>
                <w:color w:val="000000"/>
                <w:sz w:val="21"/>
                <w:szCs w:val="21"/>
                <w:u w:val="none"/>
                <w:lang w:val="en-US" w:eastAsia="zh-CN" w:bidi="ar"/>
              </w:rPr>
              <w:t xml:space="preserve">员可以对注册用户的用户名、性别、年龄等信息进行编辑、统一管理，不同的角色具有网站使用的不同权限，极大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保证了用户信息安全。支持按照用户名筛选数据，方便查询用户信息，为了方便用户信息管理，管理员用户具有管理所有用户账号信息的权限，可对账号的密码及其</w:t>
            </w:r>
            <w:r>
              <w:rPr>
                <w:rFonts w:hint="eastAsia" w:ascii="宋体" w:hAnsi="宋体" w:cs="宋体"/>
                <w:i w:val="0"/>
                <w:iCs w:val="0"/>
                <w:color w:val="000000"/>
                <w:sz w:val="21"/>
                <w:szCs w:val="21"/>
                <w:u w:val="none"/>
                <w:lang w:val="en-US" w:eastAsia="zh-CN" w:bidi="ar"/>
              </w:rPr>
              <w:t xml:space="preserve">他</w:t>
            </w:r>
            <w:r>
              <w:rPr>
                <w:rFonts w:hint="eastAsia" w:ascii="宋体" w:hAnsi="宋体" w:eastAsia="宋体" w:cs="宋体"/>
                <w:i w:val="0"/>
                <w:iCs w:val="0"/>
                <w:color w:val="000000"/>
                <w:sz w:val="21"/>
                <w:szCs w:val="21"/>
                <w:u w:val="none"/>
                <w:lang w:val="en-US" w:eastAsia="zh-CN" w:bidi="ar"/>
              </w:rPr>
              <w:t xml:space="preserve">信息进行修改，防止用户遗忘密码无法登录的问题发生；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参数检测可以让训练者自主选择单次/多次功能。单次呐喊可以有波形展示，多次呐喊可以同时直观观察到多次柱形呈现，不管是单次或多次呐喊都可以实时显示呐喊分贝位置及数字呈现，一目了然，系统智能分析使用者的宣泄行为（包括声音分贝、持续时长等数值），判断出其情绪宣泄的程度，根据不同宣泄的程度进行智能化的正向语音引导、激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#6.系统设置可对系统内的组织架构进行保存、新增、删除操作。</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2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AO4-02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智能体感互动减压平台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智能体感互动减压平台是一款借助肢体运动采集器、脑电波采集器等高科技辅助装备实时监控、反馈身体运动及神经系统生理学动态信息，并能够借助体感互动放松系统进行人机互动的心理健康产品。采用高科技肢体运动采集器，可以自动识别人形，并可以读出人体手、脚等部位运动，在训练时可以更</w:t>
            </w:r>
            <w:r>
              <w:rPr>
                <w:rFonts w:hint="eastAsia" w:ascii="宋体" w:hAnsi="宋体" w:cs="宋体"/>
                <w:i w:val="0"/>
                <w:iCs w:val="0"/>
                <w:color w:val="000000"/>
                <w:sz w:val="21"/>
                <w:szCs w:val="21"/>
                <w:u w:val="none"/>
                <w:lang w:val="en-US" w:eastAsia="zh-CN" w:bidi="ar"/>
              </w:rPr>
              <w:t xml:space="preserve">好地</w:t>
            </w:r>
            <w:r>
              <w:rPr>
                <w:rFonts w:hint="eastAsia" w:ascii="宋体" w:hAnsi="宋体" w:eastAsia="宋体" w:cs="宋体"/>
                <w:i w:val="0"/>
                <w:iCs w:val="0"/>
                <w:color w:val="000000"/>
                <w:sz w:val="21"/>
                <w:szCs w:val="21"/>
                <w:u w:val="none"/>
                <w:lang w:val="en-US" w:eastAsia="zh-CN" w:bidi="ar"/>
              </w:rPr>
              <w:t xml:space="preserve">体现放松双手，自由发挥，充分激发训练者的潜能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#1.体感减压平台控制端配备48寸液晶显示屏，图像呈现完美清晰；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#2.体感机柜：冷轧钢制柜体、外表面进口汽车烤漆、防磁、防静电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内嵌不小于48寸显示屏，柜体整体高度不小于180公分，头部横径不小于长118cm，底座不小80cm*37cm*15cm；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三、软件管理系统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#1.用户中心管理员可以对注册用户的用户名、</w:t>
            </w:r>
            <w:r>
              <w:rPr>
                <w:rFonts w:hint="eastAsia" w:ascii="宋体" w:hAnsi="宋体" w:eastAsia="宋体" w:cs="宋体"/>
                <w:i w:val="0"/>
                <w:iCs w:val="0"/>
                <w:color w:val="000000"/>
                <w:sz w:val="21"/>
                <w:szCs w:val="21"/>
                <w:u w:val="none"/>
                <w:lang w:val="en-US" w:eastAsia="zh-CN" w:bidi="ar"/>
              </w:rPr>
              <w:t xml:space="preserve">性别、年龄等信息进行编辑、统一管理。不同的用户具有不同的用户管理权限。支持按照用户名筛选数据，方便查询用户信息。账号信息修改：为了方便用户信息管理，管理员用户具有管理所有用户账号信息的权限，可对账号的密码及其他信息进行修改，防止用户遗忘密码无法登录的问题发生。管理员可以自如添加不同角色分类，满足不同用户群体的使用需求，视频管理：管理员可以自如添加视频以及视频分类，拥有编辑视频相关描述、是否推荐等权限。满足多用户群体的使用需求，音乐管理：管理员可以自如添加音乐以及音乐分类，拥有编辑音乐相关描述、是否推荐等权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训练中心内含身心协调训练、身心娱乐训练、脑电训练模块，生动有趣的训练模式可以缓解训练的枯燥性，使用户积极与系统互动，充分激发潜能。身心协调训练：内含收集快乐、我的成长、平衡训练、勇对挫折训练场景，能够很好</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锻炼用户身体协调能力、调节身心平衡。身心娱乐放松：内含切水果、拍击气球、急速行动、打地鼠四个场景，让训练者放松身心、愉悦心情，能够很好</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锻炼用户反应速度和提高注意力。脑电训练：内含划船、滑雪训练场景</w:t>
            </w:r>
            <w:r>
              <w:rPr>
                <w:rFonts w:hint="eastAsia" w:ascii="宋体" w:hAnsi="宋体" w:cs="宋体"/>
                <w:i w:val="0"/>
                <w:iCs w:val="0"/>
                <w:color w:val="000000"/>
                <w:sz w:val="21"/>
                <w:szCs w:val="21"/>
                <w:u w:val="none"/>
                <w:lang w:val="en-US" w:eastAsia="zh-CN" w:bidi="ar"/>
              </w:rPr>
              <w:t xml:space="preserve">，以及</w:t>
            </w:r>
            <w:r>
              <w:rPr>
                <w:rFonts w:hint="eastAsia" w:ascii="宋体" w:hAnsi="宋体" w:eastAsia="宋体" w:cs="宋体"/>
                <w:i w:val="0"/>
                <w:iCs w:val="0"/>
                <w:color w:val="000000"/>
                <w:sz w:val="21"/>
                <w:szCs w:val="21"/>
                <w:u w:val="none"/>
                <w:lang w:val="en-US" w:eastAsia="zh-CN" w:bidi="ar"/>
              </w:rPr>
              <w:t xml:space="preserve">实时监测使用者脑电生理数据的模块。让使用者通过反复训练掌握自身的放松规律。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减压中心包括音乐减压和心理电影两个模块，使用者可以通过浸入式影音装置，感受到身临其境的体验，从而达到缓解心理压力，调节身心状态的效果。音乐减压：内置轻音乐、α音乐，帮助使用者放松心情，舒缓身心压力。心理电影：内置经典的心理学相关电影，以寓教于乐的方式，帮助训练使用者了解心理学相关知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据中心系统支持按照用户名、训练日期进行检索结果，方便数据比对分析。系统可自动对记录数据进行统计分析，报告结果包括训练类型、用户基础信息、测试时间等详情。内容丰富详尽，帮助心理咨询师更加全面</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分析训练者的心理状态。帮助中心：帮助中心包括引言、软件综述、体感设备安装以及平台操作手册等信息，帮助使用者更好地了解和使用体感互动放松系统。</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AO4-03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宣泄人套装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宣泄人1个，仿真人形，宣泄主体和固定底座两部分组成。内层为高回弹材料填充，外层高密度环保PU，抗击打，耐变形，具有无反弹无抵触的优点，底座可以充水或充沙。宣泄人高度不小于170cm，外套为三层复合布设计， 弹性好、耐击打。可任选蓝色和红色；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#2.宣泄人胳膊长度不少于21cm；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#3.底座高度为不少于70cm，直径为不少于55cm，锥形体设计，更稳固；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#4.宣泄人头套2个，分别为不同性别、不同表情。适合针对性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进行不同对象宣泄，使得宣泄更有针对性、更加畅快淋漓；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#5.宣泄棒2根，弹性好，有保护性外套，可以保护使用者双手。绿色环保EVA制作，内置抗击打可达200kg的pvc高弹棒。外用高级潜水服面料制作，无需充气、耐击打、环保。总长不少于65cm ，粗端7cm，细端3.5cm，在抓手处有不少于20cm螺旋防滑纹；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#6.立式宣泄球1套，立式不倒，外层高级仿皮材料，高度可调节；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#7.护手套1副：环保材料制作，能保护发泄者手避免受伤；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#8.宣泄挂图2幅（50*50cm，写真板材质）烘托宣泄氛围，激发宣泄情绪；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#9.储物凳1个，至少具有绿色、黑色、棕色、红色这4种颜色可供选择，可存放头套及护手套等配套器材；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5.身心放松室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AO5-01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心理挂图2</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trHeight w:val="1263"/>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AO5-02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身心反馈训练系统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一、配置要求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#1.放松训练椅：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尺寸约为（展开）：196cm *99cm*115cm±5mm靠背皮料为绿白色弧形设计，外形美观、大气，扶手采取适合坐姿的圆弧设计，靠背柔软度AAA级，内置超静音电机，可以伸缩10000次以上无故障，通过手持控制器控制放松椅升降角度。满足训练者躺、仰、坐姿势，角度调节范围：靠背100度-170度，腿部90度-170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#2.液晶背投：</w:t>
            </w:r>
            <w:r>
              <w:rPr>
                <w:rFonts w:hint="eastAsia" w:ascii="宋体" w:hAnsi="宋体" w:cs="宋体"/>
                <w:i w:val="0"/>
                <w:iCs w:val="0"/>
                <w:color w:val="000000"/>
                <w:sz w:val="21"/>
                <w:szCs w:val="21"/>
                <w:u w:val="none"/>
                <w:lang w:val="en-US" w:eastAsia="zh-CN" w:bidi="ar"/>
              </w:rPr>
              <w:t xml:space="preserve">42英寸液晶</w:t>
            </w:r>
            <w:r>
              <w:rPr>
                <w:rFonts w:hint="eastAsia" w:ascii="宋体" w:hAnsi="宋体" w:eastAsia="宋体" w:cs="宋体"/>
                <w:i w:val="0"/>
                <w:iCs w:val="0"/>
                <w:color w:val="000000"/>
                <w:sz w:val="21"/>
                <w:szCs w:val="21"/>
                <w:u w:val="none"/>
                <w:lang w:val="en-US" w:eastAsia="zh-CN" w:bidi="ar"/>
              </w:rPr>
              <w:t xml:space="preserve">显示屏 16:9，智能人机交互，数据无线投屏传输，解决了有线传输的不美观问题。无线触压式呼吸采集器：呼吸探头由深灰色硅胶材料制作，尺寸为宽49mm、长65mm、厚度13mm，采集探头为直径为42mm的白色圆形logo滴胶设置，探头开关直径均为16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#3.可调式呼吸带采用浅灰色弹性材质制作，整体长度为900mm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调节范围为450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1600mm，可系于腰腹部，方便、舒适、便于运动。整体呼吸采集器内置Multi-point感应电路，采集呼吸等相关指数，双层Multi-point感应结构，专用IER校正电路精确采集吸呼比，采集精度：±3%，采集范围：0-50次/分，响应延迟：≤0.01秒。采集器则采用无线传输、灵敏度高、频率响应范围好、线性度好、体积小、耗电低、坚固耐用、使用方便等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#4.脑电波采集器：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脑波采集器呈扁圆形，整体削切技术与包围式设计，由整体开模的采集器和断开按摩头组成，支持不同人群不同头围形状佩戴使用。采集器整体使用蓝黑配色，其中耳夹处用天蓝信号线连接黑色耳夹，美观新颖，设计感强。脑波采集位置：前额（FP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采集点尺寸为10mm*10 mm圆形不锈钢采集点，采集信号敏锐，不容易掉线。脑波设备可输出原始脑电波数据；数据输出频率为512Hz，并可输出δ、θ、α、β、γ等8个EEG频段数据。配备锂电池不少于500mh容量，超薄设计，使用方便。前额切削式设计，有三色灯显示，可以显示出不同颜色，分别代表训练状态良好/连接成功、脑波断开连接 、训练效果不佳三种状态；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二、软件要求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#1.系统安装简便，易操作，可以在本地电脑轻松运行。至少包含波形训练、场景训练、学习中心、减压放松、数据分析、用户管理，系统设置等模块。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#2.系统内含多场景可以供用户选择训练，每个场景可以根据使用用户的生理指标进行实时画面反馈，让训练更加生动轻松；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心率通道训练：内含有苹果树，日出，划船的三维场景可供训练者选择，并可以将训练结果进行存储，可以随时调用、阅览；内设有呼吸球功能，训练者可跟随呼吸球的节奏进行调整呼吸，放松训练，使自己能很快</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放松下来。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脑波通道训练：内含有荷花、迷宫、彩虹树孩子三维场景可供训练者训练，并可以将EEG数据训练结果进行存储，可以随时调用、阅览；内设有呼吸球功能，训练者可跟随呼吸球的节奏进行调整呼吸，放松训练，使自己能很快的放松下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呼吸通道训练：内含滑雪，猴子爬树，瀑布三维场景可供训练者选择，并可以将数据训练结果进行存储，可以随时调用、阅览。内设有呼吸球功能，训练者可跟随呼吸球的节奏进行调整呼吸，放松训练，使自己能很快</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放松下来。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w:t>
            </w:r>
            <w:r>
              <w:rPr>
                <w:rStyle w:val="926"/>
                <w:rFonts w:hint="eastAsia" w:ascii="宋体" w:hAnsi="宋体" w:eastAsia="宋体" w:cs="宋体"/>
                <w:sz w:val="21"/>
                <w:szCs w:val="21"/>
                <w:lang w:val="en-US" w:eastAsia="zh-CN" w:bidi="ar"/>
              </w:rPr>
              <w:t xml:space="preserve">提供“身心反馈训练系统”软件著作权登记证书或软件开发商授权书原件扫描件。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6.放松咨询室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咨询茶几</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#1.风格</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现代简约；形状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圆形；尺寸</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50*50*50cm；实木材质；颜色可根据要求定制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#1.两人位沙发*2；尺寸：115*70*63cm；材质：高级西皮+PU皮；靠背选用3A级公仔棉；站脚：碳素钢。</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458"/>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音乐放松训练系统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afterAutospacing="0"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#1.软件设计：安装简便，易操作；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#2.软件安全：采用MD5加密技术，保证数据信息安全；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▲3.系统至少包含学习中心、治疗中心、音乐中心、记录中心等模块。</w:t>
            </w:r>
            <w:r>
              <w:rPr>
                <w:rStyle w:val="926"/>
                <w:rFonts w:hint="eastAsia" w:ascii="宋体" w:hAnsi="宋体" w:eastAsia="宋体" w:cs="宋体"/>
                <w:sz w:val="21"/>
                <w:szCs w:val="21"/>
                <w:lang w:val="en-US" w:eastAsia="zh-CN" w:bidi="ar"/>
              </w:rPr>
              <w:t xml:space="preserve">（提供软件功能截图）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#1.学习中心具备自助式放松训练功能，包含意念式呼吸法、腹式呼吸法、基本渐进式肌肉放松法 等三种模式，提供专业真人教学视频</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#2.音乐中心包含专业音乐、α波音乐、纯音乐三大版块，支持自定义添加音乐，以满足用户可根据自身情况选择合适的音乐聆听，从而缓解精神疲惫，达到身心放松的效果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▲3.放松中心包含了放松方案、放松环境、辅助催眠、系统管理、放松情况、使用帮助6大模块。可以实时监测使用者心率、压力指数、HRV、PNN50等数值，更加深入地分析用户的身心状态。</w:t>
            </w:r>
            <w:r>
              <w:rPr>
                <w:rStyle w:val="926"/>
                <w:rFonts w:hint="eastAsia" w:ascii="宋体" w:hAnsi="宋体" w:eastAsia="宋体" w:cs="宋体"/>
                <w:sz w:val="21"/>
                <w:szCs w:val="21"/>
                <w:lang w:val="en-US" w:eastAsia="zh-CN" w:bidi="ar"/>
              </w:rPr>
              <w:t xml:space="preserve">（提供软件功能截图）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#4.记录中心可以查询使用者本次及历次使用记录，可根据放松日期、用户名、用户所属进行查询用户训练记录，记录包含最大血氧、最大脉率、平均血氧、平均脉率、使用的方案等内容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管理员可以对注册用户的用户名、性别、年龄等信息进行编辑、统一管理。支持按照用户名筛选数据，查询用户信息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账号信息修改：为了用户信息管理，管理员用户具有管理所有用户账号信息的权限，可对账号的密码及其他信息进行修改，防止用户遗忘密码无法登录的问题发生。</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心理挂图4</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技术参数同“AO1-03无声挂钟”</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绿植</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#1.4m盆栽。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7.心理测评室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AO7-01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心理测试管理工作平台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#1.从心理学角度出发，为单位打造集心理测试、危机评估干预、在线心理咨询、科研数据分析于一体的信息化心理健康网站；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▲2.系统至少包含用户信息管理、量表信息管理、测试方案管理、测试结果管理、危机评估干预、咨询配置管理、科研数据管理、网站信息管理、系统安全设置等模块功能；</w:t>
            </w:r>
            <w:r>
              <w:rPr>
                <w:rStyle w:val="926"/>
                <w:rFonts w:hint="eastAsia" w:ascii="宋体" w:hAnsi="宋体" w:eastAsia="宋体" w:cs="宋体"/>
                <w:sz w:val="21"/>
                <w:szCs w:val="21"/>
                <w:lang w:val="en-US" w:eastAsia="zh-CN" w:bidi="ar"/>
              </w:rPr>
              <w:t xml:space="preserve">（提供软件功能截图）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二、功能特点：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用户信息管理用于人口学资料收集，包含用户名、注册日期、ID号、用户组、年龄范围、所属等信息，并支持追加详细信息内容。充分满足心理工作和学术科研多样化条件筛选需要，为个性化心理工作和学术科研提供丰富的人口学指标字段数据样本。用户审核：管理员可以对注册用户进行审核、统一管理，支持批量审核、批量删除功能；用户导入：系统支持下载Excel导入</w:t>
            </w:r>
            <w:r>
              <w:rPr>
                <w:rFonts w:hint="eastAsia" w:ascii="宋体" w:hAnsi="宋体" w:cs="宋体"/>
                <w:i w:val="0"/>
                <w:iCs w:val="0"/>
                <w:color w:val="000000"/>
                <w:sz w:val="21"/>
                <w:szCs w:val="21"/>
                <w:u w:val="none"/>
                <w:lang w:val="en-US" w:eastAsia="zh-CN" w:bidi="ar"/>
              </w:rPr>
              <w:t xml:space="preserve">模板</w:t>
            </w:r>
            <w:r>
              <w:rPr>
                <w:rFonts w:hint="eastAsia" w:ascii="宋体" w:hAnsi="宋体" w:eastAsia="宋体" w:cs="宋体"/>
                <w:i w:val="0"/>
                <w:iCs w:val="0"/>
                <w:color w:val="000000"/>
                <w:sz w:val="21"/>
                <w:szCs w:val="21"/>
                <w:u w:val="none"/>
                <w:lang w:val="en-US" w:eastAsia="zh-CN" w:bidi="ar"/>
              </w:rPr>
              <w:t xml:space="preserve">，一次性批量导入全部用户资料，即时生成</w:t>
            </w:r>
            <w:r>
              <w:rPr>
                <w:rFonts w:hint="eastAsia" w:ascii="宋体" w:hAnsi="宋体" w:cs="宋体"/>
                <w:i w:val="0"/>
                <w:iCs w:val="0"/>
                <w:color w:val="000000"/>
                <w:sz w:val="21"/>
                <w:szCs w:val="21"/>
                <w:u w:val="none"/>
                <w:lang w:val="en-US" w:eastAsia="zh-CN" w:bidi="ar"/>
              </w:rPr>
              <w:t xml:space="preserve">登录账号</w:t>
            </w:r>
            <w:r>
              <w:rPr>
                <w:rFonts w:hint="eastAsia" w:ascii="宋体" w:hAnsi="宋体" w:eastAsia="宋体" w:cs="宋体"/>
                <w:i w:val="0"/>
                <w:iCs w:val="0"/>
                <w:color w:val="000000"/>
                <w:sz w:val="21"/>
                <w:szCs w:val="21"/>
                <w:u w:val="none"/>
                <w:lang w:val="en-US" w:eastAsia="zh-CN" w:bidi="ar"/>
              </w:rPr>
              <w:t xml:space="preserve">、密码、机构等信息，导入后即可登录系统，减少管理员录入资料的工作，从而有更多精力投入心理健康工作。数据导入后能自动生成完整的机构信息，并支持对机构信息进行调整、修改等操作。用户机构调整后，系统能对应进行自主修正。所属管理：建设统一的组织机构数据库，实现组织机构的集中管理、分级授权及统一认证，管理员可以对部门架构进行管理，支持新增、删除组织架构。配备导入部门架构的Excel模板，管理员可一键下载，按照操作提示快速上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量表信息管理系统内包含心理健康、情绪、学习、智力、人格、社交、生活、职业兴趣测评等105种专业心理量表供用户选择，可以满足不同人员的需求。满足千人同时在线测评，支持个人心理测评和团体心理测评，可自定义测试人群，并能智能检测用户是否符合测试条件，进一步提升测试的准确性。必配量表中涵盖世界十大经典量表如：症状自评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SCL-90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、贝克焦虑量表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BAI</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、明尼苏达多相个性测验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MMPI</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以及明尼苏达多相个性测验简易版</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MMPI</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、焦虑自评量表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SAS</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、艾森克人格问卷成人式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EPQA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等；选配量表中配备行业内具有针对性的特色量表，如卡特尔16种人格因素问卷</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16PF</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、UCLA孤独量表、交往焦虑量表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IAS</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、廉斯创造力倾向测验（WCS）、贝克绝望量表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BHS</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自杀态度问卷（SAQ）等。有管理后台权限的用户可以根据量表名或者量表分类查看量表，并根据需要开启、关闭、批量开启、批量关闭相应的量表。软件还配置了特殊量表，系统可以随机生成划消数字实验量表，可自主设置需要划消的数字以及随机数字的个数。量表会更新、修订，在数量和质量上不断提升，量表常模修正升级，旨在为用户提供更加专业科学，标准化的心理测量工具。灵活的量表管理功能：管理员用户可以添加、修改、删除量表分类名称，并支持自如</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分配量表。UI直观简洁，页面可展示量表名称、简介、说明、状态、所属分类信息，方便有管理后台权限的用户查看；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#3.测试方案</w:t>
            </w:r>
            <w:r>
              <w:rPr>
                <w:rFonts w:hint="eastAsia" w:ascii="宋体" w:hAnsi="宋体" w:cs="宋体"/>
                <w:i w:val="0"/>
                <w:iCs w:val="0"/>
                <w:color w:val="000000"/>
                <w:sz w:val="21"/>
                <w:szCs w:val="21"/>
                <w:u w:val="none"/>
                <w:lang w:val="en-US" w:eastAsia="zh-CN" w:bidi="ar"/>
              </w:rPr>
              <w:t xml:space="preserve">管理</w:t>
            </w:r>
            <w:r>
              <w:rPr>
                <w:rFonts w:hint="eastAsia" w:ascii="宋体" w:hAnsi="宋体" w:eastAsia="宋体" w:cs="宋体"/>
                <w:i w:val="0"/>
                <w:iCs w:val="0"/>
                <w:color w:val="000000"/>
                <w:sz w:val="21"/>
                <w:szCs w:val="21"/>
                <w:u w:val="none"/>
                <w:lang w:val="en-US" w:eastAsia="zh-CN" w:bidi="ar"/>
              </w:rPr>
              <w:t xml:space="preserve">员可以根据需要配置不同的心理测试方案，例如日常心理测试、新生心理普查等。可设置方案名称、方案时间、发布状态、量表清单、测试人员范围等，测评方案支持开放和关闭状态功能切换，满足心理老师针对不同用户心理测试，制定不同心理测试方案的需要。开启新的测试方案，可以通过系统内邮件通知相关人员，方便对测试方案进程的跟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测试结果管理用户可以对测试结果进行批量已读标记、批量建档操作，并支持数据按照预警等级、年龄、用户名等信息排序，也可以根据用户名、年龄范围、性别、ID号、量表名、预警等级和所属信息进行查看、导出、删除测试结果，批量导出和整体导出支持Excel和Word两种不同格式；系统自动统计分析，生成图文并茂的心理测评报告。系统可支持对数据的智能处理，可筛查出测试结果预警数值较高者，方便管理员关注跟进。管理员可</w:t>
            </w:r>
            <w:r>
              <w:rPr>
                <w:rFonts w:hint="eastAsia" w:ascii="宋体" w:hAnsi="宋体" w:eastAsia="宋体" w:cs="宋体"/>
                <w:i w:val="0"/>
                <w:iCs w:val="0"/>
                <w:color w:val="000000"/>
                <w:sz w:val="21"/>
                <w:szCs w:val="21"/>
                <w:u w:val="none"/>
                <w:lang w:val="en-US" w:eastAsia="zh-CN" w:bidi="ar"/>
              </w:rPr>
              <w:t xml:space="preserve">以选择按照个人测试、团体测试、方案测试，查看、下载测试数据结果，支持查看团体数据预警人数所占比例、最大值、最小值等信息，并可以查看数据导出记录；系统自动对测试结果进行一级预警、二级预警、三级预警、其他预警、无预警人群的五种不同颜色的标注。为了方便管理员在庞大数据库读取时，不会漏掉或者误查某一信息，可以对查看过的测试数据进行标记。配备上传测试数据的Excel模板，用户可一键下载，并按照页面操作提示快速导入测试数据，打造便捷的信息渠道。如有测试人员未测试情况发生，系统具备未测试人员监测功能，方便测试后进行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危机评估干预系统智能将心理危机进行一级预警、二级预警、三级预警、其他预警、无预警的五种分级，并用红、橙、蓝、灰、绿五种颜色显示，方便根据预警级别开展有针对性的心理辅导，帮助做好危机干预工作。</w:t>
            </w:r>
            <w:r>
              <w:rPr>
                <w:rFonts w:hint="eastAsia" w:ascii="宋体" w:hAnsi="宋体" w:cs="宋体"/>
                <w:i w:val="0"/>
                <w:iCs w:val="0"/>
                <w:color w:val="000000"/>
                <w:sz w:val="21"/>
                <w:szCs w:val="21"/>
                <w:u w:val="none"/>
                <w:lang w:val="en-US" w:eastAsia="zh-CN" w:bidi="ar"/>
              </w:rPr>
              <w:t xml:space="preserve">系统</w:t>
            </w:r>
            <w:r>
              <w:rPr>
                <w:rFonts w:hint="eastAsia" w:ascii="宋体" w:hAnsi="宋体" w:eastAsia="宋体" w:cs="宋体"/>
                <w:i w:val="0"/>
                <w:iCs w:val="0"/>
                <w:color w:val="000000"/>
                <w:sz w:val="21"/>
                <w:szCs w:val="21"/>
                <w:u w:val="none"/>
                <w:lang w:val="en-US" w:eastAsia="zh-CN" w:bidi="ar"/>
              </w:rPr>
              <w:t xml:space="preserve">对预警等级划分有详细的说明解释，方便用户自行查看，让用户更</w:t>
            </w:r>
            <w:r>
              <w:rPr>
                <w:rFonts w:hint="eastAsia" w:ascii="宋体" w:hAnsi="宋体" w:cs="宋体"/>
                <w:i w:val="0"/>
                <w:iCs w:val="0"/>
                <w:color w:val="000000"/>
                <w:sz w:val="21"/>
                <w:szCs w:val="21"/>
                <w:u w:val="none"/>
                <w:lang w:val="en-US" w:eastAsia="zh-CN" w:bidi="ar"/>
              </w:rPr>
              <w:t xml:space="preserve">好地</w:t>
            </w:r>
            <w:r>
              <w:rPr>
                <w:rFonts w:hint="eastAsia" w:ascii="宋体" w:hAnsi="宋体" w:eastAsia="宋体" w:cs="宋体"/>
                <w:i w:val="0"/>
                <w:iCs w:val="0"/>
                <w:color w:val="000000"/>
                <w:sz w:val="21"/>
                <w:szCs w:val="21"/>
                <w:u w:val="none"/>
                <w:lang w:val="en-US" w:eastAsia="zh-CN" w:bidi="ar"/>
              </w:rPr>
              <w:t xml:space="preserve">理解与掌握预警级别。危机监测设置：支持手机短信接收预警信息功能，用户可以设置接收用户的手机号码、警戒通知的等级、账户名、密码等；用户可以设置对一二三级预警用户以邮箱方式发送通知，并支持对多个预警用户同时发送，用户可针对心理危机现状快速与领导沟通，商讨解决方案。危机评</w:t>
            </w:r>
            <w:r>
              <w:rPr>
                <w:rFonts w:hint="eastAsia" w:ascii="宋体" w:hAnsi="宋体" w:eastAsia="宋体" w:cs="宋体"/>
                <w:i w:val="0"/>
                <w:iCs w:val="0"/>
                <w:color w:val="000000"/>
                <w:sz w:val="21"/>
                <w:szCs w:val="21"/>
                <w:u w:val="none"/>
                <w:lang w:val="en-US" w:eastAsia="zh-CN" w:bidi="ar"/>
              </w:rPr>
              <w:t xml:space="preserve">估管理：系统支持预警测试结果的详细信息显示，为心理健康工作者提供全方位的数据支持。用户可以根据用户名、年龄范围、ID号、量表名称、预警等级、读取状态、所属信息查看测试结果，可单独或者批量导出报告，以供使用单位进一步研究分析。危机数据统计：用户可以按照不同纬度的指标检索测试数据，并自动生成统计图表，从而进行定期监控，便于应对突发事件。危机上报管理：系统可以自动生成危机心理状况统计表，管理员可以按照预警级别和人员所属快速上报文件。系统内可以用邮箱形式对测试结果进行相关管理人员的对接发送，以方便测试者相关人员及时</w:t>
            </w:r>
            <w:r>
              <w:rPr>
                <w:rFonts w:hint="eastAsia" w:ascii="宋体" w:hAnsi="宋体" w:cs="宋体"/>
                <w:i w:val="0"/>
                <w:iCs w:val="0"/>
                <w:color w:val="000000"/>
                <w:sz w:val="21"/>
                <w:szCs w:val="21"/>
                <w:u w:val="none"/>
                <w:lang w:val="en-US" w:eastAsia="zh-CN" w:bidi="ar"/>
              </w:rPr>
              <w:t xml:space="preserve">查看</w:t>
            </w:r>
            <w:r>
              <w:rPr>
                <w:rFonts w:hint="eastAsia" w:ascii="宋体" w:hAnsi="宋体" w:eastAsia="宋体" w:cs="宋体"/>
                <w:i w:val="0"/>
                <w:iCs w:val="0"/>
                <w:color w:val="000000"/>
                <w:sz w:val="21"/>
                <w:szCs w:val="21"/>
                <w:u w:val="none"/>
                <w:lang w:val="en-US" w:eastAsia="zh-CN" w:bidi="ar"/>
              </w:rPr>
              <w:t xml:space="preserve">测试用户的测试记录；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#6.咨询配置管理预约症状设置：自定义设置支持预设症状种类，以适应用户实际使用需要。咨询师管理：页面展示咨询师的姓名、年龄、邮箱、预约状态等详细信息，可展</w:t>
            </w:r>
            <w:r>
              <w:rPr>
                <w:rFonts w:hint="eastAsia" w:ascii="宋体" w:hAnsi="宋体" w:eastAsia="宋体" w:cs="宋体"/>
                <w:i w:val="0"/>
                <w:iCs w:val="0"/>
                <w:color w:val="000000"/>
                <w:sz w:val="21"/>
                <w:szCs w:val="21"/>
                <w:u w:val="none"/>
                <w:lang w:val="en-US" w:eastAsia="zh-CN" w:bidi="ar"/>
              </w:rPr>
              <w:t xml:space="preserve">示单位心理咨询师风采，帮助用户找到适合自己的咨询师。值班信息表：表格式排班设置，方便快捷，支持按周排班，并支持延续上周设置，排班时也可以查看咨询师年龄、等级、手机号码等详细信息。咨询预约管理：用户可以根据咨询师信息，选择适合自己的咨询师进行线上预约，简单操作，节省了咨询双方的时间。管理人员可以查看所有预约人员的详细信息、会诊结果，并可以在后台撤销预约。心理档案管理：系统可以为咨询用户建立心理档案，管理员可以查看档案详情、背景资料、联系方式等信息。系统配备详尽的档案系统，管理员可以为测试人员快速建档，以便持续</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关注，预防突发事件发生。咨询回访管理：系统可以自如的设置回访日期、回访类型，并可以进行智能提醒，将咨询师从繁杂琐碎的</w:t>
            </w:r>
            <w:r>
              <w:rPr>
                <w:rFonts w:hint="eastAsia" w:ascii="宋体" w:hAnsi="宋体" w:cs="宋体"/>
                <w:i w:val="0"/>
                <w:iCs w:val="0"/>
                <w:color w:val="000000"/>
                <w:sz w:val="21"/>
                <w:szCs w:val="21"/>
                <w:u w:val="none"/>
                <w:lang w:val="en-US" w:eastAsia="zh-CN" w:bidi="ar"/>
              </w:rPr>
              <w:t xml:space="preserve">日常事务</w:t>
            </w:r>
            <w:r>
              <w:rPr>
                <w:rFonts w:hint="eastAsia" w:ascii="宋体" w:hAnsi="宋体" w:eastAsia="宋体" w:cs="宋体"/>
                <w:i w:val="0"/>
                <w:iCs w:val="0"/>
                <w:color w:val="000000"/>
                <w:sz w:val="21"/>
                <w:szCs w:val="21"/>
                <w:u w:val="none"/>
                <w:lang w:val="en-US" w:eastAsia="zh-CN" w:bidi="ar"/>
              </w:rPr>
              <w:t xml:space="preserve">中释放出来，更好</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投入个案分析和心理健康研究中。咨询留言管理：管理员可以根据主题、时间等查询留言信息。可以查看到未回复、已回复、已关注留言等信息，并可以回复、删除、关注留言等；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科研数据管理用户可以按照问卷的名称查看问卷详情信息，并可以对问卷进行新增、审核、删除、批量删除等操作；添加的问卷可以自行设置单选、多选、问答多种题型。用户可以对问卷结果进行详细查看、删除、统计、SPSS数据导出，便于用户单位开展心理健康科研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#8.网站信息管理管理员有对展示界面的图片、文章、活动、下载资料等上传、修改、删除管理的功能。方便使用单位对心理健康知识、政策的宣传教育。资源共享功能也方便各用户群体便捷获取专业的知识资料；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安全设置采用MD5加密技术，超级管理员权限管理，数据库独立保存，角色权限限制访问等多种安全手段保证测评安全性。数据备份管理：系统具备数据备份管理，设置了备份功能和数据还原功能，防止软件数据丢失。备份的数据可下载到本地服务器，实现异地灾备功能，确保系统数据安全。用户权限管理：支持自定义多个用户类型和用户角色，不同的用户类型（如咨询师、测试用户、网站管理员等）关联不同的用户</w:t>
            </w:r>
            <w:r>
              <w:rPr>
                <w:rFonts w:hint="eastAsia" w:ascii="宋体" w:hAnsi="宋体" w:eastAsia="宋体" w:cs="宋体"/>
                <w:i w:val="0"/>
                <w:iCs w:val="0"/>
                <w:color w:val="000000"/>
                <w:sz w:val="21"/>
                <w:szCs w:val="21"/>
                <w:u w:val="none"/>
                <w:lang w:val="en-US" w:eastAsia="zh-CN" w:bidi="ar"/>
              </w:rPr>
              <w:t xml:space="preserve">信息。不同角色可以设置不同的网站权限，根据权限的不同，对网站内数据查看的范围也不同，满足心理健康教育工作个性化以及心理咨询保密原则的需求。站内邮箱：邮箱和测试方案关联，对发布的测评方案，通过发送邮箱的方式，进行信息提醒。回收站：显示后台已删除的所有数据信息，管理员可对误操作的数据，进行数据还原等操作；也可对数据进行批量删除和清空数据操作，需要说明的是，在回收站里删除的所有数据无法恢复，请谨慎删除。用户操作记录：记录并显示出用户进入后台后，所查看的系统界面和操作的功能按键，可通过筛选条件搜索，进行便捷式操作。</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08"/>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AO7-02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生涯规划系统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#1.生涯规划系统可以详细评估个体能力、兴趣和人格特点，帮助用户更加全面</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认识自我，找准职业定位，并进行重点发展</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二、技术描述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#1.系统架构：系统采用B/S架构，</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NET语言。采用浏览器+应用服务器+数据库的多架构运行模式，能够兼容在不同的操作系统上运行，能够支持庞大用户量和数据量。客户端无需安装，以IE 等浏览器为操作界面，并兼容SOGOU、360、 Firefox浏览器等</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数据库：可以适合大容量数据的应用，并具备开发的灵活性、可扩展性、可以用存储过程、函数等方面强大功能。数据库具有很好的伸缩性，可跨越多种平台使用，对Web技术的支持，使用户能够很容易地将数据库中的数据发布到Web页面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#3.网络环境：可运行于局域网（单位内网）和互联网。安全性高，稳定性强，既满足在本地电脑、局域网和互联网上同时进行团体测评，也可进行个体测评筛查</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AO7-03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心理测试APP端</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#1.从心理学角度出发，打造集心理测试、心理咨询、心理活动信息于一体的信息化心理健康APP。产品包含心理新闻、活动管理、心理科普、心理测试、咨询师介绍等模块，用户</w:t>
            </w:r>
            <w:r>
              <w:rPr>
                <w:rFonts w:hint="eastAsia" w:ascii="宋体" w:hAnsi="宋体" w:cs="宋体"/>
                <w:i w:val="0"/>
                <w:iCs w:val="0"/>
                <w:color w:val="000000"/>
                <w:sz w:val="21"/>
                <w:szCs w:val="21"/>
                <w:u w:val="none"/>
                <w:lang w:val="en-US" w:eastAsia="zh-CN" w:bidi="ar"/>
              </w:rPr>
              <w:t xml:space="preserve">可以</w:t>
            </w:r>
            <w:r>
              <w:rPr>
                <w:rFonts w:hint="eastAsia" w:ascii="宋体" w:hAnsi="宋体" w:eastAsia="宋体" w:cs="宋体"/>
                <w:i w:val="0"/>
                <w:iCs w:val="0"/>
                <w:color w:val="000000"/>
                <w:sz w:val="21"/>
                <w:szCs w:val="21"/>
                <w:u w:val="none"/>
                <w:lang w:val="en-US" w:eastAsia="zh-CN" w:bidi="ar"/>
              </w:rPr>
              <w:t xml:space="preserve">线上与心理咨询师进行心理问题的咨询和沟通，满足随时随地可进行心理健康测评的使用需求，不仅专业实用、功能齐全、更是操作一款心理测评产品</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二、技术描述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#1.产品架构：产品数据与心理测试管理工作平台的应用服务器相连，数据实现同步共享，支持庞大用户量和数据量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三、功能介绍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#1.心理新闻：展示与心理健康相关的最新心理资讯，在普及心理教育的同时，让用户了解心理健康的重要性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#2.活动管理：发布实时心理健康宣传活动后宣传报道信息，让用户全面了解本单位举办过的心理类活动，激发主动参与活动积极性，提高对心理健康的关注和心理活动的参与度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#3.心理科普：提供专业、系统的心理科普服务，普及心理健康知识，传播心理健康理念，帮助用户拓宽心理知识面的广度和深度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#4.咨询师介绍：展示心理咨询师的基本信息，是用户了解心理咨询师信息的重要阵地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#5.值班咨询师：系统自动显示当前日期下的所有值班咨询师，用户不仅可以结合自身需求的咨询时间，也可以根据某一特定咨询师的工作时间，进行在线咨询和预约咨询操作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#6.心理测试：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两种方式进行量表测试。在遵循测试结果保密性原则下，管理员结合实际需求，可设置用户是否可以查看测试结果。个体测试：用户可根据个人需要进行量表测试，已授权开放的测试结果可查看，并记录在我的个人中心，支持进行量表搜索，快捷查找测试量表。方案测试：依照管理员发布的方案进行量表测试。同一方案下可设置多个量表，用户可根据方案显示的开始时间、结束时间，在时间内完成测试。需要注意，超出规定时间，则无法进行测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AO7-04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测评桌椅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#1.长1500*宽750*高800mm；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#2.桌面材料</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25mm高密复合材料，具有、防油、防水、防腐蚀性能；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#3.桌架材料：桌架均采用1.6mm优质冷轧钢c型折弯焊接而成，加宽桌腿80*40mm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表面喷塑具有防锈、防水等；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#4.抽屉材料：抽屉面板双层1.0mm，其余均为正1.0mm裸板，喷塑后1.2mm，表面经过打磨、磷化、喷塑、高温烘烤而成。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#5.测评椅2张，尺寸规格：33*24*45（cm）主支撑脚采用≥40*20方钢管，拉挡为≥20*20方钢管，管材表面流水线静电喷塑处理，凳架常规为白色或者黑色。</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8.心理VR室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AO8-01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Vr虚拟现实心理训练系统（专业版）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VR虚拟现实心理训练系统是虚拟现实技术和专业心理学技术结合而成，让训练者身临其境，产生强烈的融入感和现实场景感。借助高科技展现技术，激发训练者更强的参与意识，以弥补现实训练中场景受限的不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二、软件管理系统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#1.系统主色调为蓝色透明。系统由前端和后端两部分组成。涵盖反馈训练、放松训练、数据处理等功能；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#2.系统前端分为反馈型心理训练、沉浸式放松、减压式放松、放松训练学习四个模块；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#3.系统后端用于人口学资料收集，包含：用户名、年龄、性别、联系方式等信息，支持对用户名的模糊搜索，便于快速查找用户信息。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支持管理员用户批量导入用户信息，即时生成</w:t>
            </w:r>
            <w:r>
              <w:rPr>
                <w:rFonts w:hint="eastAsia" w:ascii="宋体" w:hAnsi="宋体" w:cs="宋体"/>
                <w:i w:val="0"/>
                <w:iCs w:val="0"/>
                <w:color w:val="000000"/>
                <w:sz w:val="21"/>
                <w:szCs w:val="21"/>
                <w:u w:val="none"/>
                <w:lang w:val="en-US" w:eastAsia="zh-CN" w:bidi="ar"/>
              </w:rPr>
              <w:t xml:space="preserve">登录账号</w:t>
            </w:r>
            <w:r>
              <w:rPr>
                <w:rFonts w:hint="eastAsia" w:ascii="宋体" w:hAnsi="宋体" w:eastAsia="宋体" w:cs="宋体"/>
                <w:i w:val="0"/>
                <w:iCs w:val="0"/>
                <w:color w:val="000000"/>
                <w:sz w:val="21"/>
                <w:szCs w:val="21"/>
                <w:u w:val="none"/>
                <w:lang w:val="en-US" w:eastAsia="zh-CN" w:bidi="ar"/>
              </w:rPr>
              <w:t xml:space="preserve">、密码等信息，导入后即可登录系统，模板一键下载，操作简单。建设统一的组织级别，实现下设组织机构的分级管理。管理员可以对部门层级进行管理，支持添加、删除组织下设机构。可实时查看前端用户的训练信息，如：用户名、训练时间、训练场景、心率血氧等。管理员可通过后端，实时同步训练用户的训练画面，了解用户的训练状态。自动为训练用户，创建训练档案，包含用户个人信息、训练场景、训练时间、训练状态、训练的心率血氧图等，管理员可导出用户训练档案，进行线下的辅导和记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13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AO8-02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身心调适训练系统（VR版）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#1.身心调适运动系统可以在运动中实时监控心率、呼吸指标，与个体进行互动训练，达到调适身心健康目的。此系统非常适合考前学生减压，并同时适用于白领心理调适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#2.根据心理训练者的心率、呼吸、运动距离、运动速率、卡路里等指标，智能调节训练者的训练状态，进行互动减压放松</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二、系统详情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▲1.系统涵盖个人中心、训练中心、数据中心、心理评估、放松体验、系统管理六大功能模块。</w:t>
            </w:r>
            <w:r>
              <w:rPr>
                <w:rStyle w:val="926"/>
                <w:rFonts w:hint="eastAsia" w:ascii="宋体" w:hAnsi="宋体" w:eastAsia="宋体" w:cs="宋体"/>
                <w:sz w:val="21"/>
                <w:szCs w:val="21"/>
                <w:lang w:val="en-US" w:eastAsia="zh-CN" w:bidi="ar"/>
              </w:rPr>
              <w:t xml:space="preserve">（提供软件功能截图）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#2.个人中心：可以查看、修改个人信息、密码等基础信息；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#3.训练中心：训练中心分为体心训练和身心训练两大模块，训练者可以进行自主训练，也可进行针对性的训练；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#4.数据中心：训练者可以查看自己的训练时间、心率、呼吸、速度等详细信息，系统采用可视化图表的方式展现数据；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#5.心理评估：内置三种不同类型的专业心理量表，训练者可以根据专业评估，把握自身的情况；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#6.放松体验：音乐放松体验：内含多种音乐，可舒缓用户焦虑、紧张、抑郁等情绪。图片放松体验：训练者可以根据自己喜好选择图片进行放松。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#7.系统管理：内置用户信息管理、训练中心管理、训练数据管理、心理评估管理、放松体验管理五个模块，管理员用户可对系统进行专业管理，多方面满足用户需求。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9.心理团体活动室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团体活动桌椅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#1.活动桌规格≥800*450*750mm；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#2.木板：采用国家E1级标准三聚氰胺板面板厚度25MM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#3.脚管：前后脚采用25*50MM方型冷轧钢管  （壁厚1.5MM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#4.上托：采用3.0MM壁厚优质冷轧钢板经冲压折弯工艺而成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#5.活动椅规格≥560*580*810mm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#6.椅架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钢架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圆管直径22mm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壁厚1.5mm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表面电镀；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62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团体辅导活动包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#1.团体辅导活动箱涵盖十大活动主题：环境适应、人际交往、竞争合作、减压练习、创新实践、学习管理、自我意识、意志责任、感恩体验、心灵成长等。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二、产品包配置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#1.手提便携式团体活动箱5个</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#2.尺寸：38*28*15.5cm;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#3.具备5个主题活动。人际关系及环境适应</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自信培养、感恩体验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价值观及自我意识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创新实践及心灵成长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情绪管理及心理减压。人际关系及环境适应包括热身、环境适应、沟通交往、竞争合作4大活动主题，配备了25个团体活动方案。感恩体验、自信培养包括热身、自信心训练、感恩体验、学习管理4大活动主题，配备了20个团体活动方案。价值观及自我意识包括热身、自我意识、价值观、意志责任4大活动主题，配备了30个团体活动方案。创新实践及心灵成长包括热身、心灵成长、创新实践3大活动主题，配备了20个团体活动方案。情绪管理及心理减压包括热身、情绪管理、减压练习3大活动主题，配备了10个团体活动方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#4.主题活动所需器材：纸、笔、谁是谁信息卡、空白的胸卡、彩色笔、十二生肖面具、彩色卡纸</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正方形）、欢快音乐碟片、充气棒、各种信息卡、短绳、口罩、眼罩</w:t>
            </w:r>
            <w:r>
              <w:rPr>
                <w:rFonts w:hint="eastAsia" w:ascii="宋体" w:hAnsi="宋体" w:eastAsia="宋体" w:cs="宋体"/>
                <w:i w:val="0"/>
                <w:iCs w:val="0"/>
                <w:color w:val="000000"/>
                <w:sz w:val="21"/>
                <w:szCs w:val="21"/>
                <w:u w:val="none"/>
                <w:lang w:val="en-US" w:eastAsia="zh-CN" w:bidi="ar"/>
              </w:rPr>
              <w:t xml:space="preserve">、彩笔、图画纸、16开彩纸、剪刀、最佳配图、彩色卡片、高帽、13米的长绳2--3根、练习表、20cm长吸管、橡皮筋、50*60cm大小白纸、12色彩色水笔（粗头）、透明胶带、剪刀、10米长绳子、15米长绳子、18米长绳子、2cm宽木板、16开白纸、花盆、仿真花、草、叶、精美礼品、风雨卡片、个性特征表、不同颜色硬纸板、拍卖锤、人生曲线示意图及题卡、大头针、音乐碟片、大白纸、粗水笔、遵从指导材料一份、秒表、彩色小球、扑克牌、吸管、回形针、弯头吸管、鸡蛋、塑料袋、胶带纸、细绳子、信封、纸条、拼图、舞会眼镜、彩带、</w:t>
            </w:r>
            <w:r>
              <w:rPr>
                <w:rFonts w:hint="eastAsia" w:ascii="宋体" w:hAnsi="宋体" w:eastAsia="宋体" w:cs="宋体"/>
                <w:i w:val="0"/>
                <w:iCs w:val="0"/>
                <w:color w:val="000000"/>
                <w:sz w:val="21"/>
                <w:szCs w:val="21"/>
                <w:u w:val="none"/>
                <w:lang w:val="en-US" w:eastAsia="zh-CN" w:bidi="ar"/>
              </w:rPr>
              <w:t xml:space="preserve">别针、8张尺寸大小一样的正方形纸片、粉笔、9块大小始终不同的颜色纸、水晶球、2*10cm小纸条、海绵垫、彩色小纸、线、条形白纸、胶带纸、1cm宽*100cm长纸条、印有圆形图案白纸、长短不一的小棍子、天籁之声碟片、塑料打包绳、音箱、展示板、16开白纸、固体胶、直尺、铅笔、半圆、大信封、一张练习纸、漂亮彩纸、能量传输、齐眉竿、花、球、阅读规则材料、寻宝清单、塑料大托盘、命运纸牌、轻音乐碟片、塑料筐、情绪卡片、心形小卡片、音乐、跳袋、自我教导语言提示卡、人际关系问题解决方法提示卡共1000余件。团体活动手册5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三、团体辅导管理软件要求：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▲1.包含团体管理软件记录、用户管理、多媒体记录、数据录入等模块。</w:t>
            </w:r>
            <w:r>
              <w:rPr>
                <w:rFonts w:hint="eastAsia" w:ascii="宋体" w:hAnsi="宋体" w:cs="宋体"/>
                <w:i w:val="0"/>
                <w:iCs w:val="0"/>
                <w:color w:val="000000"/>
                <w:sz w:val="21"/>
                <w:szCs w:val="21"/>
                <w:u w:val="none"/>
                <w:lang w:val="en-US" w:eastAsia="zh-CN" w:bidi="ar"/>
              </w:rPr>
              <w:t xml:space="preserve">（</w:t>
            </w:r>
            <w:r>
              <w:rPr>
                <w:rStyle w:val="926"/>
                <w:rFonts w:hint="eastAsia" w:ascii="宋体" w:hAnsi="宋体" w:eastAsia="宋体" w:cs="宋体"/>
                <w:sz w:val="21"/>
                <w:szCs w:val="21"/>
                <w:lang w:val="en-US" w:eastAsia="zh-CN" w:bidi="ar"/>
              </w:rPr>
              <w:t xml:space="preserve">提供功能截图</w:t>
            </w:r>
            <w:r>
              <w:rPr>
                <w:rStyle w:val="926"/>
                <w:rFonts w:hint="eastAsia" w:ascii="宋体" w:hAnsi="宋体" w:cs="宋体"/>
                <w:sz w:val="21"/>
                <w:szCs w:val="21"/>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#2.用户账号管理：管理员可以对注册用户的用户名、性别、用户身份等信息进行编辑、统一管理，不同的角色具有软件使用的不同权限，极大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保证了用户信息安全。支持按照用户名筛选数据，方便查询用户信息。成员信息管理：管理员可以自如添加、删除成员用户个人信息，并支持与数据录入模块进行关联，简化心理咨询师数据录入工作。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#3.多媒体记录图片记录：系统支持上传</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jpg、 .bmp等文件格式图片，并可记录上传时间、录入人员、图片名称等信息，帮助咨询师记录活动的精彩瞬间。视频记录：系统支持上传wmv ,avi等文件格式影像，并可记录上传时间、录入人员、影片名称等信息，帮助心理咨询师深入研究团体辅导的细节，提升团体辅导水平。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据录入模块里面包含了团体辅导添加、多媒体文件添加、团体活动反馈添加、团体过程单元添加、团体成员自评添加、成员评估添加、团体辅导过程添加、团体领导者评估添加八类团辅管理，过程完整，内容详尽，帮助心理咨询师对团体辅导过程的环节把控。</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46"/>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心理剧工具箱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基础版</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心理剧工具箱是通过专业心理工具，来引发参与者自发行为，以便直接观测其心理状态。心理咨询师可以通过让参与者扮演指定的角色，以某种心理冲突情景下的自发表演为主，将心理冲突和情绪问题逐渐呈现在心理剧舞台上，以宣泄情绪、消除内心压力和自卑感，增强参与者适应环境和克服危机的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二、详细配置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利用心理剧工具箱，可以自如运用暖身技术、雕塑技术、设景技术、角色互换技术、镜像技术、替身技术、束绳技术、宣泄技术、空椅子技术，并实施到心理辅导工作中去。该工具包具备螺旋心理剧所需要的各种标志物、道具、器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必备的器材：魔法棒，魔鬼服，大丝巾，角色牌，丝带（红黄蓝），不透光的黑布，不透光的银色布，多种音乐CD，彩笔，大白纸，各种情景卡片，志趣相投卡片，各种表情面具，纸球，锤子、社会测量卡，彩布，禅卡，风景卡，动物卡，性别认同卡，水晶卡，出气棒等180多个物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#3.心理剧活动手册：一本详细活动指南、一本心理剧活动教材。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艺术心理辅导工具包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#1.工具箱2个，箱体外观颜色为黄色。 1号箱长50cm *宽32cm*高30cm，内部隔板分成4格，内置拉杆及滚轮。2号箱长69 cm *38 cm *高33cm，内部隔板分成一大一小2格，内置拉杆及滚轮；配套艺术放松学习用书4本；</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投影仪</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#1.透射比：1.26-2.09；光源类型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激光光源；光学分辨率：不小于1280*800dpi；支持投放范围：30-300英寸；灯泡寿命：大于20000小时；变焦倍数：达到1.6倍。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心理挂图5</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10.阳光驿站走廊文化</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心理挂图6</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#1.文化装饰，墙面彩绘，深化设计经由甲方确认后方可施工（室内和走廊文化布置）。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饮水机</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#1.类型：温热型饮水机；款式：立式；颜色：白色；内胆材质 奥氏体不锈钢。制热功率：1350W。制冷功率：75W。保温功率：15W。</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314"/>
        <w:gridCol w:w="6615"/>
        <w:gridCol w:w="765"/>
        <w:gridCol w:w="666"/>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AP-智慧书法教室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4598"/>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书法在线云课堂</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Saas级书法教学云平台接入服务，支持通过浏览器即可访问书法在线云课堂，接入后可使书法教室配置的教学软件具有网络化云平台服务功能；书法在线云课堂登录页面支持通过账号加密码或用户手机号码加验证码两种方式登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#2.支持每间教室的班班通设备上直接打开浏览器登录书法在线云课堂进行书法教学，无需安装</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软硬件设备；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通过网址登录书法在线云课堂首页显示不少于12个功能模块图标，包括楷书教学、小楷教学、行书教学、隶书教学、篆书教学、草书教学、硬笔教学、粉笔教学、教学视频、碑帖字帖、集字临帖、课程讲义、创作素材、云备课等教学软件访问功能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#4.楷书教学功能模块内容包括欧体、颜体多宝塔、颜体勤礼碑、柳体、赵体等五种不同书体的楷书教学内容；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#5.提供赵孟頫小楷《道德经》和王羲之《黄庭经》两种不同小楷字帖教学内容；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#6.篆书教学功能模块内容包括《石鼓文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泰山刻石》以及《峄山碑》三种不同大小篆书体教学内容；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#7.行书教学功能模块内容包括《怀仁集王羲之圣教序》和《苕溪诗帖》教学内容；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#8.隶书教学功能模块内容包括《乙瑛碑</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曹全碑》和《礼器碑》教学内容；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#9.草书教学功能模块内容包括《书谱》教学内容；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#10.每个软笔书体教学模块分为笔画教学、偏旁部首、间架结构以及结体规律教学四个教学内容；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#11.每个软笔书体教学例字提供碑帖原图、矢量字帖、双钩形式和单钩形式，满足读帖、摹帖、临写和比对的不同临摹要求；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#12.每个软笔书体教学例字的教学面板支持修改书写格形式，包括方格、九宫格、米字格、田字格和回米格五种形式，支持修改格子线条颜色，支持更换例字颜色和例字背景颜色；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软笔书体教学例字支持在浏览器中查看示范视频的五种不同书写示范视频画面，包括俯拍单画面、侧拍单画面、俯拍和侧拍左右双画面视频、俯拍嵌入侧拍画中画视频以及侧拍嵌入俯拍画中画视频，视频画面支持播放时不间断切换；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#14.提供硬笔教学功能，包括数字教学、拼音教学、笔顺教学、笔画教学、 偏旁部首和间架结构教学内容；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#15.硬笔例字提供书写示范视频，示范类型包括铅笔和中性笔等学生常用笔书写示范，例字的示范视频播放画面可以实时切换成铅笔或其他书写工具示范画面；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#16.硬笔例字支持调取笔画分解序列图，查看例字的书写笔顺，硬笔例字提供笔顺演示动画，提供硬笔书写笔顺的书写评测功能；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#17.提供粉笔楷书教学内容，包括基础知识教学、笔画教学、偏旁部首、间架结构和结字规律五大板块，每个板块按照教学知识点排列，每个知识点提供不少于5个字的例字。</w:t>
            </w:r>
            <w:r>
              <w:rPr>
                <w:rFonts w:hint="eastAsia" w:ascii="宋体" w:hAnsi="宋体" w:cs="宋体"/>
                <w:i w:val="0"/>
                <w:iCs w:val="0"/>
                <w:color w:val="000000"/>
                <w:sz w:val="21"/>
                <w:szCs w:val="21"/>
                <w:u w:val="none"/>
                <w:lang w:val="en-US" w:eastAsia="zh-CN" w:bidi="ar"/>
              </w:rPr>
              <w:t xml:space="preserve">例如</w:t>
            </w:r>
            <w:r>
              <w:rPr>
                <w:rFonts w:hint="eastAsia" w:ascii="宋体" w:hAnsi="宋体" w:eastAsia="宋体" w:cs="宋体"/>
                <w:i w:val="0"/>
                <w:iCs w:val="0"/>
                <w:color w:val="000000"/>
                <w:sz w:val="21"/>
                <w:szCs w:val="21"/>
                <w:u w:val="none"/>
                <w:lang w:val="en-US" w:eastAsia="zh-CN" w:bidi="ar"/>
              </w:rPr>
              <w:t xml:space="preserve">提供双画面教学视频，包括俯拍画面视频和侧拍画面视频；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#18.提供高清教学视频资源库，包括软笔、硬笔以及粉笔视频资源库；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软笔视频包括颜体、欧体、柳体、赵体、曹全碑、石鼓文、峄山碑、多宝塔、泰山刻石、圣教序、苕溪诗帖、黄庭经、道德经、乙瑛碑、礼器碑、书谱、张黑女、真草千字文、雁塔圣教序和大字阴符经等20种不同书体的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#20.提供教育部《中小学书法教育指导纲要》推荐临摹和鉴赏的楷书、隶书、行书、篆书和草书字帖等高清字帖资源库；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#21.字帖支持按照年代、作者、字帖名称、字体查询字帖，支持对字帖图片进行反向、调整亮度、对比度、饱和度和旋转色相功能；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 提供临摹字帖集字排版功能，支持临摹模板自主排版，支持自由拖拽临摹练习顺序和位置，支持设置临摹字格大小、字格数量和字格颜色，支持调整集字临摹的字格格式，包括方格、回米格、米字格、田字格和九宫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#23.提供欧体楷书、颜体楷书、柳体楷书、赵体楷书、颜体多宝塔和曹全碑六种书体的教学课程讲义，讲义中提供教学示范例字，例字具有俯拍和侧拍双画面示范视频；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#24.提供硬笔规范字课程讲义，分为上下两册，内容不少于54个笔画教学、52个偏旁部首、43个间架结构和17个结字规律讲义内容；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提供书法创作常用的诗词、对联、美文和佳句内容，支持通过作者和名称对诗词进行搜索，诗词提供古体诗、乐府诗等诗词类型，对联提供四、五、七、中联、长联等字数对联，佳句提供二言、三言、四言等字数的佳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提供网络云备课功能，备课制作界面支持自由排版，拖拽修改页面版式，支持结果预览，提供多种讲义模板主题，支持插入软笔字帖、硬笔字帖和教学视频等在线资源，支持自定义标题、自定义文本和插入本地图片；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#27.书法在线云课堂具有云端教学资源同步更新功能，无需用户下载更新包或者U盘导入的方式进行软件升级，更新情况显示内容包括软件名称、版本号、简称、公司地址、电话号码以及系统资源更新时间。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教师中控台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#1.尺寸规格：≥1800*800*780±5mm；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#2.产品材质：实木框架复杂榫卯结构，面板为实木多层板，传统中式家具制作工艺，采用水性漆开放效果；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#3.国标插座1个；石质砚台1个；陶瓷砚台水滴1个；6挂12针红木笔架1个；黑梓木镇尺1对，长度≥250mm；100g徽墨1条；500g墨汁1瓶；6寸陶瓷笔洗1个；山形花梨木笔搁1个；竹质中号扁木笔帘1个，四边有布袋；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#4.书画专用羊毛毡1张，尺寸≥1800mm*800mm，支持；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#5.黑檀木笔筒1个，尺寸≥115mm；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#6.大中小号兼毫毛笔各1支。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教师中控系统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#1.提供按照年级、班级进行自动排座，支持自动按行、列随机或者自动排位；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#2.支持排座信息发送到学生临摹屏上，学生按照姓名</w:t>
            </w:r>
            <w:r>
              <w:rPr>
                <w:rFonts w:hint="eastAsia" w:ascii="宋体" w:hAnsi="宋体" w:cs="宋体"/>
                <w:i w:val="0"/>
                <w:iCs w:val="0"/>
                <w:color w:val="000000"/>
                <w:sz w:val="21"/>
                <w:szCs w:val="21"/>
                <w:u w:val="none"/>
                <w:lang w:val="en-US" w:eastAsia="zh-CN" w:bidi="ar"/>
              </w:rPr>
              <w:t xml:space="preserve">就座</w:t>
            </w:r>
            <w:r>
              <w:rPr>
                <w:rFonts w:hint="eastAsia" w:ascii="宋体" w:hAnsi="宋体" w:eastAsia="宋体" w:cs="宋体"/>
                <w:i w:val="0"/>
                <w:iCs w:val="0"/>
                <w:color w:val="000000"/>
                <w:sz w:val="21"/>
                <w:szCs w:val="21"/>
                <w:u w:val="none"/>
                <w:lang w:val="en-US" w:eastAsia="zh-CN" w:bidi="ar"/>
              </w:rPr>
              <w:t xml:space="preserve">，点击屏幕完成上课签到；支持自动生成学生到课考勤表；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#3.支持老师统一控制学生屏幕，切换授课模式；支持老师向学生临摹台群发消息和单发消息；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#4.支持管理学生临摹台，查看学生临摹台设备在线状态列表；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#5.支持控制学生临摹台在统一授课和自主学习两种模式进行切换；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#6.处理器主频≥2GHz，内存≥8G，硬盘≥1TB；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#7.屏幕≥21.5寸，支持十点触控，分辨率1920*1080。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多目书画教学示范仪</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#1.具有三摄像头，1个主摄像头2个辅助摄像头，整机≤5kg；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#2.整机一体化设计，机身整体高度≤536mm，底座长宽≤265*128mm，主摄像头臂杆长宽≤462*55mm，侧拍摄像头臂杆和主摄像头支柱夹角≤30度，侧拍摄像头可折叠臂杆长度≤260mm；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#3.整机待机电流：12V/150mA；整机负载工作电流：12V/450mA；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▲4.具备辅助照明LED，可以调整亮度；侧拍辅助摄像头采用活动机身，支持折叠，支持摄像头旋转调节拍摄位置；顶部辅助摄像头采用活动摄像头，支持0-270度任意角度旋转调整；</w:t>
            </w:r>
            <w:r>
              <w:rPr>
                <w:rStyle w:val="920"/>
                <w:rFonts w:hint="eastAsia" w:ascii="宋体" w:hAnsi="宋体" w:eastAsia="宋体" w:cs="宋体"/>
                <w:sz w:val="21"/>
                <w:szCs w:val="21"/>
                <w:lang w:val="en-US" w:eastAsia="zh-CN" w:bidi="ar"/>
              </w:rPr>
              <w:t xml:space="preserve">（提供具有CMA标识的第三方检测机构出具的检测报告原件扫描件或产品白皮书或官网截图）</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#5.主摄像头：像素≥800W；分辨率≥3264*2448；对焦方式：定焦；扫描幅面≥A3；光学解像力≥A3幅面170lp/mm；球形畸变 &lt;1.5%；梯形失真 &lt;1.5%；出图响应时间 &lt;3S；自动过曝控制； 图像帧率3264×2448@15帧；图像色彩≥24位；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#6.侧拍辅助摄像头：像素≥500W；分辨率≥2592*1944；扫描幅面≥A4；光学解像力≥A4幅面170lp/mm；球形畸变 &lt;1.5%；梯形失真 &lt;1.5%；出图响应时间 &lt;1S；自动过曝控制；图像帧率2592*1944@10帧；图像色彩≥24位；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#7.顶部辅助摄像头：像素≥200W；对焦方式：定焦；球形畸变 &lt;5%；梯形失真 &lt;5%；出图响应时间 &lt;1S；图像色彩≥24位。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书法教学示范系统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#1.支持接入多目书画教学示范仪进行书写示范教学；支持示范画面自由组合切换成画中画、双画面、单画面等格式；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#2.支持视频画面接入大屏进行示范教学；支持录制高清示范视频，录制视频可作为书法微课资源；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#3.录制视频时支持同步录制教学音频；支持截取示范视频画面为图片；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#4.系统支持屏幕任意批注功能；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#5.支持教学软件界面录制信号和多目书画教学示范仪视频信号同步采集；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#6.自动合成微课视频文件，提供文件管理维护功能，支持下载、上传、删除、重命名以及文件管理功能。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学生书法桌</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#1.尺寸规格：≥1400*700*738±5mm；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#2.产品材质：实木框架复杂榫卯结构，面板为实木多层板，传统中式家具制作工艺，采用水性漆开放效果。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▲3.依据GB28007-2011《儿童家具通用技术条件》结构安全，检测结果合格；环保性能：检测结果需符合甲醛释放量为未检出；</w:t>
            </w:r>
            <w:r>
              <w:rPr>
                <w:rFonts w:hint="eastAsia" w:ascii="宋体" w:hAnsi="宋体" w:cs="宋体"/>
                <w:i w:val="0"/>
                <w:iCs w:val="0"/>
                <w:color w:val="000000"/>
                <w:sz w:val="21"/>
                <w:szCs w:val="21"/>
                <w:u w:val="none"/>
                <w:lang w:val="en-US" w:eastAsia="zh-CN" w:bidi="ar"/>
              </w:rPr>
              <w:t xml:space="preserve">（</w:t>
            </w:r>
            <w:r>
              <w:rPr>
                <w:rStyle w:val="920"/>
                <w:rFonts w:hint="eastAsia" w:ascii="宋体" w:hAnsi="宋体" w:eastAsia="宋体" w:cs="宋体"/>
                <w:sz w:val="21"/>
                <w:szCs w:val="21"/>
                <w:lang w:val="en-US" w:eastAsia="zh-CN" w:bidi="ar"/>
              </w:rPr>
              <w:t xml:space="preserve">提供具有CMA认证标识的第三方检测机构出具的检测报告原件扫描件）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书法凳</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#1.尺寸规格：≥450*350*430±5mm；凳子采用实木材质，凳子框架大料抄手榫</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，装板工艺；产品采用水性漆开放效果。</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学生镇尺</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#1.黑梓木，长度≥180mm。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学生墨汁</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#1.墨汁180g。</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AP1-10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学生笔搁</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#1.花梨木材质。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学生毛笔</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#1.兼毫毛笔。</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AP1-12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学生墨盒</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#1.长方形，尺寸规格：≥134mm*76m*20mm。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临摹专用纸</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#1.半生熟临摹宣纸，100张/包。</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2"/>
        <w:gridCol w:w="1305"/>
        <w:gridCol w:w="6615"/>
        <w:gridCol w:w="780"/>
        <w:gridCol w:w="66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AQ-传统书法教室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书法桌（教师）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#1.适用范围：适用于初高中教学使用；技术要求：教师用书发桌，外观尺寸：≥1600*600*750mm，优质实木，榆木，采用榫卯结构，结实牢靠。该书画桌简洁大方，纹理通达清晰，外观鲜明光亮，仿古色。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书法凳（教师）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范围：适用于初高中教学使用；技术要求：同教师书法桌搭配使用，靠背椅，外观尺寸：≥450*500*450mm，含靠背1000mm，优质实木，榆木，采用榫卯结构，结实牢靠。该书画椅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书法桌（学生）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#1.适用范围：适用于初高中教学使用；技术要求：学生用书法桌，外观尺寸：≥1400*600*750mm，马鞍造型优质实木，榆木，采用榫卯结构，结实牢靠。该书法桌简洁大方，纹理通达清晰，外观鲜明光亮，仿古色。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▲2.依据GB28007-2011《儿童家具通用技术条件》结构安全，检测结果合格；环保性能：检测结果需符合甲醛释放量为未检出；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提供具有CMA认证标识的第三方检测机构出具的检测报告原件扫描件）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书法凳（学生）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范围：适用于初高中教学使用；技术要求：同学生书法桌搭配使用，规格：≥300*400*420优质实木框架，马鞍造型优质实木，榆木，采用榫卯结构，结实牢靠。该书法凳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95"/>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教师书法专用套装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质砚台1个；墨盒1个；6挂12针红木笔架1个；黑梓木镇尺1对，长度≥250mm；100g徽墨1条；500g墨汁1瓶；6寸陶瓷笔洗1个；山形花梨木笔搁1个；竹质中号扁木笔帘1个，四边有布袋；书画专用羊毛毡1张，尺寸≥1800mm*800mm，支持水洗多次使用；黑檀木笔筒1个，尺寸≥115mm*150mm；大中小号兼毫毛笔各1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学生墨汁</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技术参数同“AP1-09学生墨汁”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学生笔挂</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#1.塑钢龙头笔挂，六挂十二针。</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学生毛笔</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技术参数同“AP1-11学生毛笔”</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学生镇尺</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技术参数同“AP1-08学生镇尺”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AQ1-10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学生墨盒</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技术参数同“AP1-12学生墨盒”</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AQ1-11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学生书画毡</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#1.优质书画画毡，尺寸≥600*1400mm。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AQ1-12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临摹专用纸</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技术参数同“AP1-13临摹专用纸”</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AQ1-13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裁纸刀</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#1.血檀木裁纸刀，无木刺，23.5*1.5CM。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AQ1-14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705" w:type="pct"/>
        <w:tblInd w:w="-6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6"/>
        <w:gridCol w:w="1622"/>
        <w:gridCol w:w="5426"/>
        <w:gridCol w:w="747"/>
        <w:gridCol w:w="823"/>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AR-美术教室1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AR1-01</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#1.9寸裁缝专用剪刀</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含纱剪。</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AR1-02</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水消笔（划粉）</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#1.划图案用的。</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AR1-03</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大板桌</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#1.规格：2400*1200mm*750mm；桌面伸缩缝工艺，外沿厚度40mm；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#2.桌面材质：橡胶木，表面环保清漆处理，金属支架，3个U型腿、钢管规格15*50mm，中间3根钢管竖称支撑，横梁钢管规格25*50mm，壁厚1.0mm，表黑色喷塑处理，桌架与桌面外边齐平。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AR1-04</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针线盒</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#1.黑胡桃木针线盒，里面有13件工具包。</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AR1-05</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380*380*430mm，材质：凳面伸缩缝工艺，边框橡胶木，中间18mm多层板贴木皮，结构：≥35*35mm直腿马蹄腿脚，四面≥20*30mm横撑连接，特点：榫卯结构，牢固结实，仿古造型，表面光滑细腻，喷涂环保清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AR1-06</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布料</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#1.蓝印花布、棉麻布白色、藏蓝色、绿色、粉色、蓝色、粉红色；规格60*60mm。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AR1-07</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法式刺绣绷框台</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#1.规格：580*160*125mm，材质：榉木，特点：多功能、多部位、多角度、高度可调节，满足不同角度高度的刺绣，配两块绣布，刺绣针1根，不同颜色绣线5把，水消笔1支。</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AR1-08</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刺绣线</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#1.24色常规。</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AR1-09</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布料</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#1.白棉布，100米/匹。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匹</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AR1-10</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布艺操作台</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#1.操作台规格</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1830*1040*750mm，材质：复合板材，三档自由升降、带收纳抽屉、带脚轮、方便折叠移动；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#2.配缝纫机：电压220V，功率：40W，缝纫机速度：850转/分钟，针迹数：50种，勾线机构：水平旋梭，自动穿线器、布牙装置、可升降、支持双针模式。</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AR1-11</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688" w:type="pct"/>
        <w:tblInd w:w="-6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20"/>
        <w:gridCol w:w="1295"/>
        <w:gridCol w:w="5627"/>
        <w:gridCol w:w="842"/>
        <w:gridCol w:w="911"/>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AS-美术教室2</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一、教师用具</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459"/>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画架</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#1.榉木材质，平立两用落地画架 ，可以升降，平放，倾斜（调节任意角度），还可以折叠，方便携带；产品规格：43*50*135，最高可伸长至215cm ，宽度不限。带万向轮，方便在室内移动，前面两个轮子带刹车，可以锁死。</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#1．规格：2#图板，外观尺寸不小于600mm×900mm×18mm；材质：双面榉木三合板，四周实木边框；要求：边框气钉眼需进行表面处理。整体板面平整、表面光滑、洁净、无毛刺。</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542"/>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写生凳</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#1.规格：凳面直径不低于300mm，升降高度480到650mm；材质：优质榉木；要求：升降式架构，支撑稳定，牢固可靠，工艺精细，表面光洁，环保清漆处理，漆面均匀光亮。</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绘画工具车</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#1.材质：榉木，长度≥740mm，宽度≥400mm，高度≥800mm，中下两层间隔高度不小于190mm，经过抛光打蜡，喷漆，防腐、防潮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静音脚轮，可制动。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5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AS1-05</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写生画箱</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#1.整体尺寸：82cm×106cm×140cm；箱体：57cm×42cm×17（24）cm，置画高度：87cm；材质：红榉木，优质五金配件，电镀抗氧化能力强，不易生锈，橡胶胶带，高度和倾斜度可调整。</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AS1-06</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美术教学套装</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#1.水彩画颜料12ml，12色一套、水粉画颜料12ml，12色一套、油画颜料50ml，12色一套、水彩画笔1-12#各1支、24眼调色板1件、可折叠水桶1个、水彩纸160g 4K*20张、素描纸160g 4K*20张、素描纸160g 4K*20张、铅笔2B、4B、6B各一支、可塑橡皮1块、橡皮1块、辉柏嘉彩色铅笔48色。</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二、学生用具</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画架</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58*60*171cm（最大升高到235CM），可调节高度，直尺最大画框高度：126CM；材质：榉木；梯形，可折叠，角度双重可调，画托高度升降可调，表面光滑、无毛刺、无弯曲，接缝无开裂，整体无疤痕无弯曲，表面环保烤漆处理。适用范围：中西两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#1.600mm*450mm、双面椴木，四周实木边框，椴木木纹明显，表面光滑无毛刺，不易变形。</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写生凳</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330*250*450mm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结构</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全实木结构，传统工艺，结构牢固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材质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全实木制作，本色，材料经熏蒸处理，虫不蛙，不变形，不开裂。</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绘画工具车</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#1.材质：榉木，长度≥740mm，宽度≥400mm，高度≥800mm，中下两层间隔高度不小于190mm，经过抛光打蜡，喷漆，防腐、防潮。静音脚轮，可制动。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AS2-05</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写生画箱</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#1.整体尺寸：82cm×106cm×140cm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箱体：50cm×34cm×17（24）cm，置画高度：87cm；材质：红榉木，优质五金配件，电镀抗氧化能力强，不易生锈，橡胶胶带，高度和倾斜度可调整。</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AS2-06</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水粉画颜料</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#1.100ml瓶装，24色为一套。</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AS2-07</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水粉笔</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桦木笔身 握笔舒适 。</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AS2-08</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折叠式洗笔筒</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#1.规格：口径不小于185mm，底部直径不低于150mm，收缩后高不低于42mm，展开后高不低于180mm，顶部外侧含塑料挂笔装置，可同时放置4支画笔。</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AS2-09</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水粉纸</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#1.规格4K，厚度不低于160g，黄色本色纸，20张/包。</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AS2-10</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水彩颜料</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#1.24色套装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单支容量为12ml。</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AS2-11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水彩画笔</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桦木笔身 握笔舒适 。</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AS2-12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水彩纸</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#1.规格4K，厚度不低于160g，黄色本色纸，10张/包。</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AS2-13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调色盘</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#1.规格：直径不小于170mm，高不低于18mm，7格梅花形，材质为透明丙料。</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三、美术辅助器材</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写生灯</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#1.规格：立式三节可升降、最大调节高度2400mm、照射角度0°-120°；材质：球形灯罩：金属材料，灯杆：钢管，表面镀铬，铝节、塑料旋钮，内置弹簧；要求：表面光滑、无锈斑、划痕，含LED灯泡（暖白色）。   </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写生台</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600mm*900mm，最大高度120cm，台面逐级升降，可根据需求自由调节高度，可折叠台面，表面光滑无颗粒，采用榉木三合板作为台面，经打磨抛光处理，整体喷涂绿色无污染清漆，配备带锁万向轮，可防止使用过程中移动，底部储藏式抽屉空间最大化，方便放置画笔，颜料等。</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3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转台</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#1.上盘面295mm，下盘面：d=170mm，塑钢材质，表面光滑平稳；用途：裱花首选，雕塑及工业设计，陶艺用转盘，模型</w:t>
            </w:r>
            <w:r>
              <w:rPr>
                <w:rFonts w:hint="eastAsia" w:ascii="宋体" w:hAnsi="宋体" w:cs="宋体"/>
                <w:i w:val="0"/>
                <w:iCs w:val="0"/>
                <w:color w:val="000000"/>
                <w:sz w:val="21"/>
                <w:szCs w:val="21"/>
                <w:u w:val="none"/>
                <w:lang w:val="en-US" w:eastAsia="zh-CN" w:bidi="ar"/>
              </w:rPr>
              <w:t xml:space="preserve">制作</w:t>
            </w:r>
            <w:r>
              <w:rPr>
                <w:rFonts w:hint="eastAsia" w:ascii="宋体" w:hAnsi="宋体" w:eastAsia="宋体" w:cs="宋体"/>
                <w:i w:val="0"/>
                <w:iCs w:val="0"/>
                <w:color w:val="000000"/>
                <w:sz w:val="21"/>
                <w:szCs w:val="21"/>
                <w:u w:val="none"/>
                <w:lang w:val="en-US" w:eastAsia="zh-CN" w:bidi="ar"/>
              </w:rPr>
              <w:t xml:space="preserve">和产品喷漆上色时专用工具。</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木制关节人</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#1.不小于400mm。</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AS3-05</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衬布</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#1.1000mm*2000mm，涤棉材质，各种花色。</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AS3-06</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写生教具1</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#1.适用于中小学美术教学使用。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AS3-07</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写生教具2</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#1.适用于中小学美术教学使用。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AS3-08</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静物</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#1.优质。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AS3-09</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陶瓷样本</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#1.适用于中小学美术教学使用。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AS3-10</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磁性黑板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#1.规格1200mm*800mm；书写面一面为白色钢质板面、一面为墨绿色钢质板面，表面</w:t>
            </w:r>
            <w:r>
              <w:rPr>
                <w:rFonts w:hint="eastAsia" w:ascii="宋体" w:hAnsi="宋体" w:cs="宋体"/>
                <w:i w:val="0"/>
                <w:iCs w:val="0"/>
                <w:color w:val="000000"/>
                <w:sz w:val="21"/>
                <w:szCs w:val="21"/>
                <w:u w:val="none"/>
                <w:lang w:val="en-US" w:eastAsia="zh-CN" w:bidi="ar"/>
              </w:rPr>
              <w:t xml:space="preserve">平整</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涂覆</w:t>
            </w:r>
            <w:r>
              <w:rPr>
                <w:rFonts w:hint="eastAsia" w:ascii="宋体" w:hAnsi="宋体" w:eastAsia="宋体" w:cs="宋体"/>
                <w:i w:val="0"/>
                <w:iCs w:val="0"/>
                <w:color w:val="000000"/>
                <w:sz w:val="21"/>
                <w:szCs w:val="21"/>
                <w:u w:val="none"/>
                <w:lang w:val="en-US" w:eastAsia="zh-CN" w:bidi="ar"/>
              </w:rPr>
              <w:t xml:space="preserve">层无脱落、起泡、龟裂、针孔、斑痕、凹凸不平等不良现象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带支架。磁性黑板能方便贴学生书画作业</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利于讲评。</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AS3-11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美术欣赏挂图</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#1.对开，铜版纸印刷，幅数不少于58幅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挂图内容正确、层次分明、图像清晰、重点突出、色泽鲜明。</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AS3-12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作品展示镜框</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#1.底板是中纤板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表层为透明PVC片。</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AS3-13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不锈钢夹子</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#1.材质：不锈钢，长度不小于145mm。</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1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AS3-14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美术课配套材料</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#1.勾线笔4支、油画棒1个、固体胶1个、彩色水笔1支、彩泥1套、彩色铅笔4支、双面胶1个、陶泥1袋、水粉画颜料1</w:t>
            </w:r>
            <w:r>
              <w:rPr>
                <w:rFonts w:hint="eastAsia" w:ascii="宋体" w:hAnsi="宋体" w:cs="宋体"/>
                <w:i w:val="0"/>
                <w:iCs w:val="0"/>
                <w:color w:val="000000"/>
                <w:sz w:val="21"/>
                <w:szCs w:val="21"/>
                <w:u w:val="none"/>
                <w:lang w:val="en-US" w:eastAsia="zh-CN" w:bidi="ar"/>
              </w:rPr>
              <w:t xml:space="preserve">盒</w:t>
            </w:r>
            <w:r>
              <w:rPr>
                <w:rFonts w:hint="eastAsia" w:ascii="宋体" w:hAnsi="宋体" w:eastAsia="宋体" w:cs="宋体"/>
                <w:i w:val="0"/>
                <w:iCs w:val="0"/>
                <w:color w:val="000000"/>
                <w:sz w:val="21"/>
                <w:szCs w:val="21"/>
                <w:u w:val="none"/>
                <w:lang w:val="en-US" w:eastAsia="zh-CN" w:bidi="ar"/>
              </w:rPr>
              <w:t xml:space="preserve">、墨汁1瓶、中国画颜料1</w:t>
            </w:r>
            <w:r>
              <w:rPr>
                <w:rFonts w:hint="eastAsia" w:ascii="宋体" w:hAnsi="宋体" w:cs="宋体"/>
                <w:i w:val="0"/>
                <w:iCs w:val="0"/>
                <w:color w:val="000000"/>
                <w:sz w:val="21"/>
                <w:szCs w:val="21"/>
                <w:u w:val="none"/>
                <w:lang w:val="en-US" w:eastAsia="zh-CN" w:bidi="ar"/>
              </w:rPr>
              <w:t xml:space="preserve">盒</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cs="宋体"/>
                <w:i w:val="0"/>
                <w:iCs w:val="0"/>
                <w:color w:val="000000"/>
                <w:sz w:val="21"/>
                <w:szCs w:val="21"/>
                <w:u w:val="none"/>
                <w:lang w:val="en-US" w:eastAsia="zh-CN" w:bidi="ar"/>
              </w:rPr>
              <w:t xml:space="preserve">胶辊</w:t>
            </w:r>
            <w:r>
              <w:rPr>
                <w:rFonts w:hint="eastAsia" w:ascii="宋体" w:hAnsi="宋体" w:eastAsia="宋体" w:cs="宋体"/>
                <w:i w:val="0"/>
                <w:iCs w:val="0"/>
                <w:color w:val="000000"/>
                <w:sz w:val="21"/>
                <w:szCs w:val="21"/>
                <w:u w:val="none"/>
                <w:lang w:val="en-US" w:eastAsia="zh-CN" w:bidi="ar"/>
              </w:rPr>
              <w:t xml:space="preserve">1个、胶版（水溶性）1个、油墨（黑色）1瓶。</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四、配套用品</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AS4-01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软木展板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240*120cm；软木板经高科技专用胶水高压粘合密封而成，结构牢固、弹性好，耐腐蚀、耐冲击，保持板面平整，软木外层可覆彩色布，外加铝合金或木质流线装饰边框；原色为纯软木，覆布后为彩色；香槟电泳铝合金边框（可选喷其他颜色） 规格37mm*20mm  壁厚≥1mm；铝合金边框包角材料为：抗疲劳ABC工程塑料，模具成型；木框角为斜切对角。</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10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AS4-02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置物架</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#1.1000*300*1800mm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钢木结构；立柱采用25*25方管焊接，上面为4层设计，隔板采用16mm三聚氰胺板，颜色为柚木色，下面为小柜设计，双开门设计。</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AS4-03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美术教学用品柜</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#1.规格：1000*500*2000mm，铝木结构，采用结构为内槽式铝合金框架结构，立柱及横档 38*38*1mm、38*28*1mm和ABS连接件组装而成；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#2.表面经酸洗、磷化、环氧树脂高温固化处理具有耐腐蚀、耐高温等特点；柜身材料采用16mm厚E1级双贴三聚氰胺板；板材所有截面均经全自动封边机封边处理，封边所用边条均为优质2mm厚PVC封边条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所用热熔胶为优质热熔胶王；一次成型，结合紧密，密封性好。选用优质ABS工程注塑加固角连接，不变形、外形美观、经久耐用。结构</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仪器橱分为上下两部分，上部为5mm厚浮化玻璃板上部分为推拉玻璃透视门，下部为板式对开门。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AS4-04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698" w:type="pct"/>
        <w:tblInd w:w="-64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6"/>
        <w:gridCol w:w="1325"/>
        <w:gridCol w:w="5610"/>
        <w:gridCol w:w="866"/>
        <w:gridCol w:w="915"/>
      </w:tblGrid>
      <w:tr>
        <w:trPr>
          <w:trHeight w:val="567" w:hRule="exact"/>
        </w:trPr>
        <w:tc>
          <w:tcPr>
            <w:gridSpan w:val="5"/>
            <w:shd w:val="clear" w:color="auto" w:fill="auto"/>
            <w:tcBorders>
              <w:top w:val="single" w:color="000000" w:sz="4" w:space="0"/>
              <w:left w:val="single" w:color="000000"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AT-美术教室3</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AT1-01</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教师书画桌</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1800*800*760mm，材质：优质实木，桌面伸缩缝工艺，外沿厚40mm，桌面下有2个横撑支撑；结构：≥70*70mm直腿马蹄腿脚，桌斗高度100mm。特点：榫卯结构，牢固结实，牙板雕花，表面光滑细腻，喷涂环保清漆。</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AT1-02</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教师书画椅</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#1.规格：≥540*440*820mm，坐高380mm，靠背弧形圈设计，材质：优质实木；特点：榫卯结构，牢固结实，表面光滑细腻，喷涂环保清漆。</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AT1-03</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学生书画桌</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#1.规格：≥1400*600*760mm，材质：桌面伸缩缝工艺，外沿厚35mm，桌面下有1个60*35mm横撑支撑。结构：≥60*60mm直腿马蹄腿脚，特点：榫卯结构，结实牢固，牙板雕花，表面光滑细腻，喷涂环保清漆。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▲2.依据GB28007-2011《儿童家具通用技术条件》结构安全，检测结果合格；环保性能：检测结果需符合甲醛释放量为未检出；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提供具有CMA认证标识的第三方检测机构出具的检测报告原件扫描件）</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AT1-04</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学生书画凳</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380*380*430mm，材质：凳面伸缩缝工艺，边框橡胶木，中间18mm多层板贴木皮，结构：≥35*35mm直腿马蹄腿脚，四面≥20*30mm横撑连接，特点：榫卯结构，牢固结实，仿古造型，表面光滑细腻，喷涂环保清漆。</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AT1-05</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展示架</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至少3种造型可选，单个规格≥1000*300*2000mm。材质：优质实木，四根立柱规格≥35*35mm，柜门尺寸≥460*460mm，隔板边框18mm，隔板厚度5mm；特点：仿古造型，上部多宝阁，展示作品，下部实木对开门，可以存放物品，榫卯结构，牢固结实，表面光滑细腻，喷涂环保清漆，可以自由组合。</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AT1-06</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画毡</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#1.规格：≥1800*800*5mm，材质：材质：混纺。</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AT1-07</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画毡</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#1.规格：≥1400*600*5mm，材质：混纺。</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AT1-08</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展示画框</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#1.规格：≥33*33cm边框2.2*2.8cm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原木色，配背板，有机玻璃，挂钩</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AT1-09</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展示画框</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#1.规格：≥68*45cm边框2.2*2.8cm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原木色，配背板，有机玻璃，挂钩。</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AT1-10</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国画和书法工具</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#1.毛笔8支、画毡1块、调色盘1块、砚台1个、笔洗1个、笔架1个、镇尺1付、笔帘1个、墨1块、印盒1个、墨汁1瓶≥100ml，中空吹塑定位包装箱。</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AT1-11</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宣纸</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#1.规格：33*33cm、卡宣，100张/刀。</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AT1-12</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宣纸</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#1.规格：68*45cm、卡宣，100张/刀。</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AT1-13</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国画颜料</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#1.12色，12ml。</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AT1-14</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墨汁</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#1.规格：250ml/瓶，颜色：黑、白。</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AT1-15</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拷贝台</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#1.透图面A3，规格：≥520*320mm、柔性亚克力，LED光源，工作电压：USB-5V</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1A，功率：5W，导光方式：LED全反射，3档调光，带刻度，USB插头，可接电脑、充电宝和电源。</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AT1-16</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#1.现代款式，带山水图案。油画布材质。</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AT1-17</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轨道展示架</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#1.尺寸≥1.5m，滑动轨道，铝合金材质，带金属挂钩。</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AT1-18</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磁性毛毡墙</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#1.规格：≥1000*2000mm*25mm，材质：磁性毛毡板、木质底板，四周25*25mm实木边框包边，不会变形、不会鼓，磁性强，配金属磁扣6个，用于书法、美术作品展示。</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AT1-19</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numPr>
          <w:ilvl w:val="0"/>
          <w:numId w:val="0"/>
        </w:numPr>
        <w:ind w:right="0"/>
        <w:keepLines w:val="0"/>
        <w:keepNext w:val="0"/>
        <w:pageBreakBefore w:val="0"/>
        <w:spacing w:beforeAutospacing="0" w:afterAutospacing="0" w:line="400" w:lineRule="exact"/>
        <w:rPr>
          <w:rFonts w:hint="eastAsia" w:ascii="宋体" w:hAnsi="宋体" w:eastAsia="宋体" w:cs="宋体"/>
          <w:b w:val="0"/>
          <w:bCs/>
          <w:color w:val="auto"/>
          <w:sz w:val="21"/>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bCs/>
          <w:color w:val="auto"/>
          <w:sz w:val="21"/>
          <w:szCs w:val="21"/>
          <w:highlight w:val="none"/>
          <w:lang w:val="en-US" w:eastAsia="zh-CN"/>
        </w:rPr>
      </w:r>
      <w:r/>
    </w:p>
    <w:p>
      <w:pPr>
        <w:numPr>
          <w:ilvl w:val="0"/>
          <w:numId w:val="0"/>
        </w:numPr>
        <w:ind w:right="0"/>
        <w:spacing w:beforeAutospacing="0" w:afterAutospacing="0" w:line="440" w:lineRule="exact"/>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（二）核心产品</w:t>
      </w:r>
      <w:r/>
    </w:p>
    <w:p>
      <w:pPr>
        <w:pStyle w:val="703"/>
        <w:ind w:firstLine="468"/>
        <w:rPr>
          <w:rFonts w:hint="default"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1.采购包1核心产品为：A1-01教师演讲台；A1-03 实验桌；</w:t>
      </w:r>
      <w:r/>
    </w:p>
    <w:p>
      <w:pPr>
        <w:pStyle w:val="703"/>
        <w:ind w:firstLine="468"/>
        <w:rPr>
          <w:rFonts w:hint="default" w:ascii="宋体" w:hAnsi="宋体" w:eastAsia="宋体" w:cs="宋体"/>
          <w:color w:val="auto"/>
          <w:sz w:val="24"/>
          <w:szCs w:val="24"/>
          <w:highlight w:val="none"/>
          <w:lang w:val="en-US" w:eastAsia="zh-CN" w:bidi="ar-SA"/>
        </w:rPr>
      </w:pPr>
      <w:r>
        <w:rPr>
          <w:rFonts w:hint="eastAsia" w:cs="宋体"/>
          <w:b w:val="0"/>
          <w:bCs/>
          <w:color w:val="auto"/>
          <w:sz w:val="24"/>
          <w:szCs w:val="24"/>
          <w:highlight w:val="none"/>
          <w:lang w:val="en-US" w:eastAsia="zh-CN"/>
        </w:rPr>
        <w:t xml:space="preserve">2.采购包2核心产品为：AP1-06 学生书法桌。</w:t>
      </w:r>
      <w:r/>
    </w:p>
    <w:p>
      <w:pPr>
        <w:numPr>
          <w:ilvl w:val="0"/>
          <w:numId w:val="0"/>
        </w:num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《采购清单及技术参数要求》技术参数说明如下：</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采购清单中设备名称前标有“●”的为核心产品，不同</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核心产品标的品牌相同按同品牌投标人处理</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560"/>
        <w:spacing w:beforeAutospacing="0" w:afterAutospacing="0" w:line="440" w:lineRule="exact"/>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标注“▲”号标记的技术参数为重要技术参数，须按招标文件指定要求提供证明材料</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未提供视为</w:t>
      </w:r>
      <w:r>
        <w:rPr>
          <w:rFonts w:hint="eastAsia" w:ascii="宋体" w:hAnsi="宋体" w:cs="宋体"/>
          <w:b w:val="0"/>
          <w:bCs w:val="0"/>
          <w:color w:val="auto"/>
          <w:sz w:val="24"/>
          <w:szCs w:val="24"/>
          <w:highlight w:val="none"/>
          <w:lang w:val="en-US" w:eastAsia="zh-CN"/>
        </w:rPr>
        <w:t xml:space="preserve">负偏离</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 </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.标注“＃”号标记的技术参数为一般技术参数，投标人须详尽真实</w:t>
      </w:r>
      <w:r>
        <w:rPr>
          <w:rFonts w:hint="eastAsia" w:ascii="宋体" w:hAnsi="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 xml:space="preserve">在《技术要求响应及偏离表》内逐条响应，且在《技术要求响应及偏离表》内详尽</w:t>
      </w:r>
      <w:r>
        <w:rPr>
          <w:rFonts w:hint="eastAsia" w:ascii="宋体" w:hAnsi="宋体" w:cs="宋体"/>
          <w:color w:val="auto"/>
          <w:sz w:val="24"/>
          <w:szCs w:val="24"/>
          <w:highlight w:val="none"/>
          <w:lang w:val="en-US" w:eastAsia="zh-CN"/>
        </w:rPr>
        <w:t xml:space="preserve">真实地</w:t>
      </w:r>
      <w:r>
        <w:rPr>
          <w:rFonts w:hint="eastAsia" w:ascii="宋体" w:hAnsi="宋体" w:eastAsia="宋体" w:cs="宋体"/>
          <w:color w:val="auto"/>
          <w:sz w:val="24"/>
          <w:szCs w:val="24"/>
          <w:highlight w:val="none"/>
          <w:lang w:val="en-US" w:eastAsia="zh-CN"/>
        </w:rPr>
        <w:t xml:space="preserve">列明“超出、符合或偏离”情况，否则将视为</w:t>
      </w:r>
      <w:r>
        <w:rPr>
          <w:rFonts w:hint="eastAsia" w:ascii="宋体" w:hAnsi="宋体" w:cs="宋体"/>
          <w:color w:val="auto"/>
          <w:sz w:val="24"/>
          <w:szCs w:val="24"/>
          <w:highlight w:val="none"/>
          <w:lang w:val="en-US" w:eastAsia="zh-CN"/>
        </w:rPr>
        <w:t xml:space="preserve">负偏离</w:t>
      </w:r>
      <w:r>
        <w:rPr>
          <w:rFonts w:hint="eastAsia" w:ascii="宋体" w:hAnsi="宋体" w:eastAsia="宋体" w:cs="宋体"/>
          <w:color w:val="auto"/>
          <w:sz w:val="24"/>
          <w:szCs w:val="24"/>
          <w:highlight w:val="none"/>
          <w:lang w:val="en-US" w:eastAsia="zh-CN"/>
        </w:rPr>
        <w:t xml:space="preserve">。</w:t>
      </w:r>
      <w:r/>
    </w:p>
    <w:p>
      <w:pPr>
        <w:numPr>
          <w:ilvl w:val="0"/>
          <w:numId w:val="0"/>
        </w:numPr>
        <w:ind w:left="0" w:right="0" w:firstLine="480"/>
        <w:spacing w:beforeAutospacing="0" w:afterAutospacing="0" w:line="440" w:lineRule="exact"/>
        <w:rPr>
          <w:rFonts w:ascii="Times New Roman" w:hAnsi="Times New Roman" w:eastAsia="宋体" w:cs="Times New Roman"/>
          <w:b/>
          <w:bCs/>
          <w:i w:val="0"/>
          <w:iCs w:val="0"/>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ascii="Times New Roman" w:hAnsi="Times New Roman" w:eastAsia="宋体" w:cs="Times New Roman"/>
          <w:b/>
          <w:bCs/>
          <w:i w:val="0"/>
          <w:iCs w:val="0"/>
          <w:color w:val="auto"/>
          <w:sz w:val="24"/>
          <w:szCs w:val="24"/>
          <w:highlight w:val="none"/>
        </w:rPr>
        <w:t xml:space="preserve">除</w:t>
      </w:r>
      <w:r>
        <w:rPr>
          <w:rFonts w:hint="eastAsia"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rPr>
        <w:t xml:space="preserve">辅助材料（含以施工为主的条目</w:t>
      </w:r>
      <w:r>
        <w:rPr>
          <w:rFonts w:hint="eastAsia" w:ascii="Times New Roman" w:hAnsi="Times New Roman" w:eastAsia="宋体" w:cs="Times New Roman"/>
          <w:b/>
          <w:bCs/>
          <w:i w:val="0"/>
          <w:iCs w:val="0"/>
          <w:color w:val="auto"/>
          <w:sz w:val="24"/>
          <w:szCs w:val="24"/>
          <w:highlight w:val="none"/>
          <w:lang w:val="en-US" w:eastAsia="zh-CN"/>
        </w:rPr>
        <w:t xml:space="preserve">中的辅材</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w:t>
      </w:r>
      <w:r>
        <w:rPr>
          <w:rFonts w:hint="eastAsia" w:ascii="Times New Roman" w:hAnsi="Times New Roman" w:cs="Times New Roman"/>
          <w:b/>
          <w:bCs/>
          <w:i w:val="0"/>
          <w:iCs w:val="0"/>
          <w:color w:val="auto"/>
          <w:sz w:val="24"/>
          <w:szCs w:val="24"/>
          <w:highlight w:val="none"/>
          <w:lang w:val="en-US" w:eastAsia="zh-CN"/>
        </w:rPr>
        <w:t xml:space="preserve">A5-01文宣装修、A3-17系统安装辅件、C3-17系统安装辅件、C4-10配置辅材及施工、F1-12安装材料、K-09综合布线、K-11电源布线、L-17环境布置、M-12安装辅件、AB1-44环境布置、AC1-04室内地上给排水安装、AO6-06绿植、AO10-02文化墙</w:t>
      </w:r>
      <w:r>
        <w:rPr>
          <w:rFonts w:ascii="Times New Roman" w:hAnsi="Times New Roman" w:eastAsia="宋体" w:cs="Times New Roman"/>
          <w:b/>
          <w:bCs/>
          <w:i w:val="0"/>
          <w:iCs w:val="0"/>
          <w:color w:val="auto"/>
          <w:sz w:val="24"/>
          <w:szCs w:val="24"/>
          <w:highlight w:val="none"/>
          <w:lang w:val="en-US" w:eastAsia="zh-CN"/>
        </w:rPr>
        <w:t xml:space="preserve">和技术参数</w:t>
      </w:r>
      <w:r>
        <w:rPr>
          <w:rFonts w:ascii="Times New Roman" w:hAnsi="Times New Roman" w:eastAsia="宋体" w:cs="Times New Roman"/>
          <w:b/>
          <w:bCs/>
          <w:i w:val="0"/>
          <w:iCs w:val="0"/>
          <w:color w:val="auto"/>
          <w:sz w:val="24"/>
          <w:szCs w:val="24"/>
          <w:highlight w:val="none"/>
        </w:rPr>
        <w:t xml:space="preserve">标明为定制的货物</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ascii="Times New Roman" w:hAnsi="Times New Roman" w:eastAsia="宋体" w:cs="Times New Roman"/>
          <w:b/>
          <w:bCs/>
          <w:i w:val="0"/>
          <w:iCs w:val="0"/>
          <w:color w:val="auto"/>
          <w:sz w:val="24"/>
          <w:szCs w:val="24"/>
          <w:highlight w:val="none"/>
        </w:rPr>
        <w:t xml:space="preserve">之外的其它应该标明品牌和型号的</w:t>
      </w:r>
      <w:r>
        <w:rPr>
          <w:rFonts w:ascii="Times New Roman" w:hAnsi="Times New Roman" w:eastAsia="宋体" w:cs="Times New Roman"/>
          <w:b/>
          <w:bCs/>
          <w:i w:val="0"/>
          <w:iCs w:val="0"/>
          <w:color w:val="auto"/>
          <w:sz w:val="24"/>
          <w:szCs w:val="24"/>
          <w:highlight w:val="none"/>
          <w:lang w:val="en-US" w:eastAsia="zh-CN"/>
        </w:rPr>
        <w:t xml:space="preserve">产品</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hint="eastAsia" w:eastAsia="宋体" w:cs="Times New Roman"/>
          <w:b/>
          <w:bCs/>
          <w:i w:val="0"/>
          <w:iCs w:val="0"/>
          <w:color w:val="auto"/>
          <w:sz w:val="24"/>
          <w:szCs w:val="24"/>
          <w:highlight w:val="none"/>
          <w:lang w:val="en-US" w:eastAsia="zh-CN"/>
        </w:rPr>
        <w:t xml:space="preserve">”</w:t>
      </w:r>
      <w:r>
        <w:rPr>
          <w:rFonts w:ascii="Times New Roman" w:hAnsi="Times New Roman" w:eastAsia="宋体" w:cs="Times New Roman"/>
          <w:b/>
          <w:bCs/>
          <w:i w:val="0"/>
          <w:iCs w:val="0"/>
          <w:color w:val="auto"/>
          <w:sz w:val="24"/>
          <w:szCs w:val="24"/>
          <w:highlight w:val="none"/>
        </w:rPr>
        <w:t xml:space="preserve">，</w:t>
      </w:r>
      <w:r>
        <w:rPr>
          <w:rFonts w:hint="eastAsia" w:eastAsia="宋体" w:cs="Times New Roman"/>
          <w:b/>
          <w:bCs/>
          <w:i w:val="0"/>
          <w:iCs w:val="0"/>
          <w:color w:val="auto"/>
          <w:sz w:val="24"/>
          <w:szCs w:val="24"/>
          <w:highlight w:val="none"/>
          <w:lang w:val="en-US" w:eastAsia="zh-CN"/>
        </w:rPr>
        <w:t xml:space="preserve">投标人</w:t>
      </w:r>
      <w:r>
        <w:rPr>
          <w:rFonts w:ascii="Times New Roman" w:hAnsi="Times New Roman" w:eastAsia="宋体" w:cs="Times New Roman"/>
          <w:b/>
          <w:bCs/>
          <w:i w:val="0"/>
          <w:iCs w:val="0"/>
          <w:color w:val="auto"/>
          <w:sz w:val="24"/>
          <w:szCs w:val="24"/>
          <w:highlight w:val="none"/>
        </w:rPr>
        <w:t xml:space="preserve">在投标文件中必须标明</w:t>
      </w:r>
      <w:r>
        <w:rPr>
          <w:rFonts w:ascii="Times New Roman" w:hAnsi="Times New Roman" w:eastAsia="宋体" w:cs="Times New Roman"/>
          <w:b/>
          <w:bCs/>
          <w:i w:val="0"/>
          <w:iCs w:val="0"/>
          <w:color w:val="auto"/>
          <w:sz w:val="24"/>
          <w:szCs w:val="24"/>
          <w:highlight w:val="none"/>
          <w:lang w:val="en-US" w:eastAsia="zh-CN"/>
        </w:rPr>
        <w:t xml:space="preserve">产品</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ascii="Times New Roman" w:hAnsi="Times New Roman" w:eastAsia="宋体" w:cs="Times New Roman"/>
          <w:b/>
          <w:bCs/>
          <w:i w:val="0"/>
          <w:iCs w:val="0"/>
          <w:color w:val="auto"/>
          <w:sz w:val="24"/>
          <w:szCs w:val="24"/>
          <w:highlight w:val="none"/>
        </w:rPr>
        <w:t xml:space="preserve">的品牌、型号，否则作无效</w:t>
      </w:r>
      <w:r>
        <w:rPr>
          <w:rFonts w:hint="eastAsia" w:eastAsia="宋体" w:cs="Times New Roman"/>
          <w:b/>
          <w:bCs/>
          <w:i w:val="0"/>
          <w:iCs w:val="0"/>
          <w:color w:val="auto"/>
          <w:sz w:val="24"/>
          <w:szCs w:val="24"/>
          <w:highlight w:val="none"/>
          <w:lang w:val="en-US" w:eastAsia="zh-CN"/>
        </w:rPr>
        <w:t xml:space="preserve">投标</w:t>
      </w:r>
      <w:r>
        <w:rPr>
          <w:rFonts w:ascii="Times New Roman" w:hAnsi="Times New Roman" w:eastAsia="宋体" w:cs="Times New Roman"/>
          <w:b/>
          <w:bCs/>
          <w:i w:val="0"/>
          <w:iCs w:val="0"/>
          <w:color w:val="auto"/>
          <w:sz w:val="24"/>
          <w:szCs w:val="24"/>
          <w:highlight w:val="none"/>
        </w:rPr>
        <w:t xml:space="preserve">处理。</w:t>
      </w:r>
      <w:r/>
    </w:p>
    <w:p>
      <w:pPr>
        <w:numPr>
          <w:ilvl w:val="0"/>
          <w:numId w:val="0"/>
        </w:numPr>
        <w:ind w:left="0" w:right="0" w:firstLine="480"/>
        <w:spacing w:beforeAutospacing="0" w:afterAutospacing="0" w:line="440" w:lineRule="exact"/>
        <w:rPr>
          <w:rFonts w:hint="default" w:ascii="Times New Roman" w:hAnsi="Times New Roman" w:cs="Times New Roman"/>
          <w:b/>
          <w:bCs/>
          <w:i w:val="0"/>
          <w:iCs w:val="0"/>
          <w:color w:val="auto"/>
          <w:sz w:val="24"/>
          <w:szCs w:val="24"/>
          <w:highlight w:val="none"/>
          <w:lang w:val="en-US" w:eastAsia="zh-CN"/>
        </w:rPr>
      </w:pPr>
      <w:r>
        <w:rPr>
          <w:rFonts w:hint="eastAsia" w:ascii="Times New Roman" w:hAnsi="Times New Roman" w:cs="Times New Roman"/>
          <w:b/>
          <w:bCs/>
          <w:i w:val="0"/>
          <w:iCs w:val="0"/>
          <w:color w:val="auto"/>
          <w:sz w:val="24"/>
          <w:szCs w:val="24"/>
          <w:highlight w:val="none"/>
          <w:lang w:val="en-US" w:eastAsia="zh-CN"/>
        </w:rPr>
        <w:t xml:space="preserve">5.采购包2技术参数中要求“生产厂家品牌需经商标注册，并持有品牌商标注册证书”，中标后由采购方随机抽查，未提供的，采购方有权拒收并要求提供符合采购需求的产品，产品价格不得低于中标价。</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.投标人应当对《中小企业声明函》真实性负责，投标人出具的《中小企业声明函》应当对本次采购标的逐一列明制造商且应当与明细报价表内容相对应。</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.除特别标注尺寸偏差、大于、大于等于、小于及小于等于之外，</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固定尺寸允许偏差±5%。</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供货前</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应提供相关货物、设备的规格、颜色、外形等供采购人确认</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否则造成的损失由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自行承担。产品必须是正规厂家新品，不得使用已经淘汰或拼凑、组装的伪劣、假冒部件及产品经</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人审验合格后方可进场，所有产品需符合国家标准要求</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不得以次充好。</w:t>
      </w:r>
      <w:r/>
    </w:p>
    <w:p>
      <w:pPr>
        <w:numPr>
          <w:ilvl w:val="0"/>
          <w:numId w:val="0"/>
        </w:numPr>
        <w:ind w:left="0" w:right="0" w:firstLine="56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应在合同签订后规定时间按要求将货物运输至业主指定的交货地点。零散及易损件须用木箱包装，确保防盗、防震、防潮、防破损、运输方式确定，并且由于运输造成的设备损坏，丢失均由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负责处理，未按进度供货的，责任</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自负。</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.经</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人确认供货完成后，</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应在规定时间内完成货物的安装、调试的工作，对于安装、调试出现质量问题的，</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应及时更换新的产品，确保货物质量。</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四、项目要求</w:t>
      </w:r>
      <w:r/>
    </w:p>
    <w:p>
      <w:pPr>
        <w:ind w:left="0" w:right="0" w:firstLine="482"/>
        <w:keepLines w:val="0"/>
        <w:keepNext w:val="0"/>
        <w:pageBreakBefore w:val="0"/>
        <w:spacing w:beforeAutospacing="0" w:afterAutospacing="0" w:line="44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（一）供货要求</w:t>
      </w:r>
      <w:r/>
    </w:p>
    <w:p>
      <w:pPr>
        <w:numPr>
          <w:ilvl w:val="0"/>
          <w:numId w:val="0"/>
        </w:numPr>
        <w:ind w:left="0" w:right="0" w:firstLine="48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应提供合格货物，保证货物为全新、未使用的原厂原装正品，货物上均有合格证，包括品牌的有关标志。</w:t>
      </w:r>
      <w:r/>
    </w:p>
    <w:p>
      <w:pPr>
        <w:ind w:left="0" w:right="0" w:firstLine="482"/>
        <w:keepLines w:val="0"/>
        <w:keepNext w:val="0"/>
        <w:pageBreakBefore w:val="0"/>
        <w:spacing w:beforeAutospacing="0" w:afterAutospacing="0" w:line="44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（二）质量保证</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应保证提供的货物经过正确安装、正常使用和保养条件下，在其使用寿命内应具有满意的性能。货物最终验收后，在售后服务期内，</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应对由于设计、工艺或材料的缺陷以及其他由于生产厂家或</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的原因而发生的任何不足或故障负责，费用由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负担。</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发出索赔通知。</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在收到通知后，应在合同所附服务承诺约定的时间内维修、更换有缺陷的货物或部件。</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b/>
          <w:bCs/>
          <w:iCs/>
          <w:color w:val="auto"/>
          <w:sz w:val="24"/>
          <w:szCs w:val="24"/>
          <w:highlight w:val="none"/>
        </w:rPr>
      </w:pPr>
      <w:r>
        <w:rPr>
          <w:rFonts w:hint="eastAsia" w:ascii="宋体" w:hAnsi="宋体" w:eastAsia="宋体" w:cs="宋体"/>
          <w:color w:val="auto"/>
          <w:sz w:val="24"/>
          <w:szCs w:val="24"/>
          <w:highlight w:val="none"/>
        </w:rPr>
        <w:t xml:space="preserve">（4）如果</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在收到通知后，在合同所附服务承诺约定的时间内没有弥补缺陷，采购人可采取必要的补救措施，但风险和费用将由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承担。</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（三）货物的包装、发运及运输</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应在货物发运前对其进行满足运输距离、防潮、防震、防锈和防破损装卸等要求包装，以保证货物安全运达采购人指定地点。</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对货物的包装应符合《商品包装政府采购需求标准（试行）</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《快递包装政府采购需求标准（试行）》的规定。</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（2）使用说明书、质量检验证明书、随配附件和工具以及清单一并附于货物内。</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在货物发运手续办理完毕后24小时内或货到采购人48小时前通知采购人，以准备接货。</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（4）货物在交付采购人前发生的风险均由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负责。</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）货物在规定的交付期限内由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送达采购人指定的地点视为交付，</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同时需通知采购人货物已送达。</w:t>
      </w:r>
      <w:r/>
    </w:p>
    <w:p>
      <w:pPr>
        <w:ind w:firstLine="482"/>
        <w:spacing w:line="360" w:lineRule="auto"/>
        <w:rPr>
          <w:rFonts w:ascii="Times New Roman" w:hAnsi="Times New Roman" w:eastAsia="宋体" w:cs="Times New Roman"/>
          <w:b/>
          <w:bCs/>
          <w:iCs/>
          <w:color w:val="auto"/>
          <w:sz w:val="24"/>
          <w:szCs w:val="24"/>
          <w:highlight w:val="none"/>
        </w:rPr>
      </w:pPr>
      <w:r>
        <w:rPr>
          <w:rFonts w:ascii="Times New Roman" w:hAnsi="Times New Roman" w:eastAsia="宋体" w:cs="Times New Roman"/>
          <w:b/>
          <w:bCs/>
          <w:iCs/>
          <w:color w:val="auto"/>
          <w:sz w:val="24"/>
          <w:szCs w:val="24"/>
          <w:highlight w:val="none"/>
        </w:rPr>
        <w:t xml:space="preserve">（</w:t>
      </w:r>
      <w:r>
        <w:rPr>
          <w:rFonts w:hint="eastAsia" w:ascii="Times New Roman" w:hAnsi="Times New Roman" w:cs="Times New Roman"/>
          <w:b/>
          <w:bCs/>
          <w:iCs/>
          <w:color w:val="auto"/>
          <w:sz w:val="24"/>
          <w:szCs w:val="24"/>
          <w:highlight w:val="none"/>
          <w:lang w:val="en-US" w:eastAsia="zh-CN"/>
        </w:rPr>
        <w:t xml:space="preserve">四</w:t>
      </w:r>
      <w:r>
        <w:rPr>
          <w:rFonts w:ascii="Times New Roman" w:hAnsi="Times New Roman" w:eastAsia="宋体" w:cs="Times New Roman"/>
          <w:b/>
          <w:bCs/>
          <w:iCs/>
          <w:color w:val="auto"/>
          <w:sz w:val="24"/>
          <w:szCs w:val="24"/>
          <w:highlight w:val="none"/>
        </w:rPr>
        <w:t xml:space="preserve">）清单相关装修安装要求（装修、安装部分）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w:t>
      </w:r>
      <w:r>
        <w:rPr>
          <w:rFonts w:ascii="Times New Roman" w:hAnsi="Times New Roman" w:eastAsia="宋体" w:cs="Times New Roman"/>
          <w:color w:val="auto"/>
          <w:sz w:val="24"/>
          <w:szCs w:val="24"/>
          <w:highlight w:val="none"/>
        </w:rPr>
        <w:t xml:space="preserve">投标人</w:t>
      </w:r>
      <w:r>
        <w:rPr>
          <w:rFonts w:ascii="Times New Roman" w:hAnsi="Times New Roman" w:eastAsia="宋体" w:cs="Times New Roman"/>
          <w:color w:val="auto"/>
          <w:sz w:val="24"/>
          <w:szCs w:val="24"/>
          <w:highlight w:val="none"/>
          <w:lang w:val="en-US" w:eastAsia="zh-CN"/>
        </w:rPr>
        <w:t xml:space="preserve">可提前</w:t>
      </w:r>
      <w:r>
        <w:rPr>
          <w:rFonts w:ascii="Times New Roman" w:hAnsi="Times New Roman" w:eastAsia="宋体" w:cs="Times New Roman"/>
          <w:color w:val="auto"/>
          <w:sz w:val="24"/>
          <w:szCs w:val="24"/>
          <w:highlight w:val="none"/>
        </w:rPr>
        <w:t xml:space="preserve">自行踏勘现场，结合项目现场和采购人要求，充分考虑装修、安装涉及的接电接水管材、电源线、桥架、支架、管道、管线、配件辅材、电路控制电气（</w:t>
      </w:r>
      <w:r>
        <w:rPr>
          <w:rFonts w:hint="eastAsia" w:ascii="Times New Roman" w:hAnsi="Times New Roman" w:cs="Times New Roman"/>
          <w:color w:val="auto"/>
          <w:sz w:val="24"/>
          <w:szCs w:val="24"/>
          <w:highlight w:val="none"/>
          <w:lang w:eastAsia="zh-CN"/>
        </w:rPr>
        <w:t xml:space="preserve">如需</w:t>
      </w:r>
      <w:r>
        <w:rPr>
          <w:rFonts w:ascii="Times New Roman" w:hAnsi="Times New Roman" w:eastAsia="宋体" w:cs="Times New Roman"/>
          <w:color w:val="auto"/>
          <w:sz w:val="24"/>
          <w:szCs w:val="24"/>
          <w:highlight w:val="none"/>
        </w:rPr>
        <w:t xml:space="preserve">有，须含电箱）</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设备安装基础及设备吊装、高空作业（如有，须满足）、管道开洞及封补洞、垃圾清运等全部采购安装事务及费用</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其他相关辅材等。以上相关配件辅材，因考虑不全造成遗漏，均由中标人负责，视同中标人主动让利，不再另计。所有设施设备及</w:t>
      </w:r>
      <w:r>
        <w:rPr>
          <w:rFonts w:hint="eastAsia" w:ascii="Times New Roman" w:hAnsi="Times New Roman" w:cs="Times New Roman"/>
          <w:color w:val="auto"/>
          <w:sz w:val="24"/>
          <w:szCs w:val="24"/>
          <w:highlight w:val="none"/>
          <w:lang w:eastAsia="zh-CN"/>
        </w:rPr>
        <w:t xml:space="preserve">外露</w:t>
      </w:r>
      <w:r>
        <w:rPr>
          <w:rFonts w:ascii="Times New Roman" w:hAnsi="Times New Roman" w:eastAsia="宋体" w:cs="Times New Roman"/>
          <w:color w:val="auto"/>
          <w:sz w:val="24"/>
          <w:szCs w:val="24"/>
          <w:highlight w:val="none"/>
        </w:rPr>
        <w:t xml:space="preserve">管线设置及处理须满足采购人关于布局整体要求和项目需求，确保耐久、安全（如有，须含）。安装及供</w:t>
      </w:r>
      <w:r>
        <w:rPr>
          <w:rFonts w:hint="eastAsia" w:ascii="Times New Roman" w:hAnsi="Times New Roman" w:cs="Times New Roman"/>
          <w:color w:val="auto"/>
          <w:sz w:val="24"/>
          <w:szCs w:val="24"/>
          <w:highlight w:val="none"/>
          <w:lang w:eastAsia="zh-CN"/>
        </w:rPr>
        <w:t xml:space="preserve">货数</w:t>
      </w:r>
      <w:r>
        <w:rPr>
          <w:rFonts w:ascii="Times New Roman" w:hAnsi="Times New Roman" w:eastAsia="宋体" w:cs="Times New Roman"/>
          <w:color w:val="auto"/>
          <w:sz w:val="24"/>
          <w:szCs w:val="24"/>
          <w:highlight w:val="none"/>
        </w:rPr>
        <w:t xml:space="preserve">量等投标事宜并承担所有关联责任，确保本项目供货及安装调试全面满足项目技术要求及安装调试规范标准、采购人要求和项目功能使用和进度需求。</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中标人</w:t>
      </w:r>
      <w:r>
        <w:rPr>
          <w:rFonts w:ascii="Times New Roman" w:hAnsi="Times New Roman" w:eastAsia="宋体" w:cs="Times New Roman"/>
          <w:color w:val="auto"/>
          <w:sz w:val="24"/>
          <w:szCs w:val="24"/>
          <w:highlight w:val="none"/>
        </w:rPr>
        <w:t xml:space="preserve">结合项目</w:t>
      </w:r>
      <w:r>
        <w:rPr>
          <w:rFonts w:ascii="Times New Roman" w:hAnsi="Times New Roman" w:eastAsia="宋体" w:cs="Times New Roman"/>
          <w:color w:val="auto"/>
          <w:sz w:val="24"/>
          <w:szCs w:val="24"/>
          <w:highlight w:val="none"/>
          <w:lang w:val="en-US" w:eastAsia="zh-CN"/>
        </w:rPr>
        <w:t xml:space="preserve">实际需求</w:t>
      </w:r>
      <w:r>
        <w:rPr>
          <w:rFonts w:ascii="Times New Roman" w:hAnsi="Times New Roman" w:eastAsia="宋体" w:cs="Times New Roman"/>
          <w:color w:val="auto"/>
          <w:sz w:val="24"/>
          <w:szCs w:val="24"/>
          <w:highlight w:val="none"/>
        </w:rPr>
        <w:t xml:space="preserve">，深化供货方案，务必满足设施设备安装和使用功能整体需求；中标后合同签订后3日历天内提供</w:t>
      </w:r>
      <w:r>
        <w:rPr>
          <w:rFonts w:hint="eastAsia" w:ascii="Times New Roman" w:hAnsi="Times New Roman" w:cs="Times New Roman"/>
          <w:color w:val="auto"/>
          <w:sz w:val="24"/>
          <w:szCs w:val="24"/>
          <w:highlight w:val="none"/>
          <w:lang w:val="en-US" w:eastAsia="zh-CN"/>
        </w:rPr>
        <w:t xml:space="preserve">文宣装修、环境布置的</w:t>
      </w:r>
      <w:r>
        <w:rPr>
          <w:rFonts w:ascii="Times New Roman" w:hAnsi="Times New Roman" w:eastAsia="宋体" w:cs="Times New Roman"/>
          <w:color w:val="auto"/>
          <w:sz w:val="24"/>
          <w:szCs w:val="24"/>
          <w:highlight w:val="none"/>
        </w:rPr>
        <w:t xml:space="preserve">深化方案</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方案须明确工作进度（全面服从室内装修和采购人关于本项目的各相关工序施工安排，满足相关项目的配合施工和验收需求），且须满足该项目装修、安装规范要求；书面方案报经本项目采购人同意后，方可实施。因不满足规范要求，造成相关安装责任及损失的，由中标人全部负责。</w:t>
      </w:r>
      <w:r/>
    </w:p>
    <w:p>
      <w:pPr>
        <w:pStyle w:val="884"/>
        <w:ind w:left="0" w:right="0" w:firstLine="560"/>
        <w:spacing w:beforeAutospacing="0" w:afterAutospacing="0" w:line="440" w:lineRule="exact"/>
        <w:tabs>
          <w:tab w:val="left" w:pos="753" w:leader="none"/>
        </w:tabs>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施工注意事项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必须注意装修、安装调试现场安全，做好安全文明施工工作，一切责任由中标人负责，与采购人无关。施工过程中中标人应做好原有建筑及设施防护工作，如因中标人原因造成原有建筑及设施损坏，由中标人负责维修恢复原样。</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）验收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验收时间：设备安装调试经采购人试用并达到验收标准后，采购人根据合同约定组织验收。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验收内容：包括设备品牌、型号、规格、数量是否符合合同规定，外观质量、产品包装是否完好、安装调试是否合格，所提供设备装箱清单、操作说明、维修手册等是否齐全。</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成立验收小组，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（2）验收标准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）节能、环保产品政策</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标★为政府强制采购产品</w:t>
      </w:r>
      <w:r>
        <w:rPr>
          <w:rFonts w:hint="eastAsia" w:ascii="宋体" w:hAnsi="宋体" w:cs="宋体"/>
          <w:b/>
          <w:bCs/>
          <w:color w:val="auto"/>
          <w:sz w:val="24"/>
          <w:szCs w:val="24"/>
          <w:highlight w:val="none"/>
          <w:lang w:eastAsia="zh-CN"/>
        </w:rPr>
        <w:t xml:space="preserve">）</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）商品包装、快递包装政府采购需求标准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）采购本国货物、工程和服务</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五、项目实施要求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投标人针对本项目提供详细的项目实施方案，内容包括但不限于：质量保证</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培训及技术支持</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售后服务方案等。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（一）质量保障要求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投标人针对本项目提供详细的质量保证</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，内容包括但不限于：</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（1）详细的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质量保证体系、质量方针和目标、质量管理措施、质量控制措施等方面的内容</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详细的施工进度保障方案，</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一份详尽的项目进度计划，有明确的时间节点和进度安排，展示项目各阶段的起止时间、关键过程等，且要充分考虑暑期暴雨及酷暑影响，避免影响工期。</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详细的现场管理要求</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现场管理策略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安全生产措施、环境保护措施以及日常现场管理流程等。</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）培训及技术支持</w:t>
      </w:r>
      <w:r>
        <w:rPr>
          <w:rFonts w:hint="eastAsia" w:ascii="宋体" w:hAnsi="宋体" w:eastAsia="宋体" w:cs="宋体"/>
          <w:b/>
          <w:bCs/>
          <w:color w:val="auto"/>
          <w:sz w:val="24"/>
          <w:szCs w:val="24"/>
          <w:highlight w:val="none"/>
          <w:lang w:val="en-US" w:eastAsia="zh-CN"/>
        </w:rPr>
        <w:t xml:space="preserve">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投标人结合用户实际情况，在安装过程中或安装结束后，对采购人和操作人员进行操作培训并提供快捷操作指南（塑胶封好，挂在设备上）。</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同时投标人需制定适合用户详细、操作性强的培训方案，内容包含但不限于培训目的、培训时间、培训内容、培训对象、培训地点、培训方式及课时安排、培训教材、培训师资等。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（1）培训目的：通过对用户的培训，使其对设备的使用、操作、维护进行培训，并提供安装使用维护说明书，以确保使用单位能够对设备有足够的了解，能够独立进行日常操作、管理和维护。</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（2）培训时间：投标人完成供货并交付用户使用之日起两周内对用户完成培训。交付使用1个月后投标人须派遣专业技术人员到工作现场，对用户各种技术问题和使用进行现场指导和培训。</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（3）培训内容：包括但不限于安全知识学习、产品具有的功能学习、产品体系架构学习、安装、调试、操作的培训、产品的日常维护学习、产品的故障紧急处理。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（4）培训对象：本次采购的产品使用者。</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（5）培训地点：同交货地点。</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（6）培训方式及课时安排：现场培训或线上培训、至少2课时，每课时至少30分钟。</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（7）培训教材：免费提供培训教材纸质版或电子版（含使用手册）等。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（8）培训师资：投标人须委派专业技术人员对用户进行培训。</w:t>
      </w:r>
      <w:r/>
    </w:p>
    <w:p>
      <w:pPr>
        <w:ind w:left="0" w:right="0" w:firstLine="482"/>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售后服务要求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投标人针对本项目提供详细的售后服务方案，内容包含但不限于：</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要求售后服务期：售后服务期内对产品质量实行三包，免费为本项目采购的所有产品提供维修、保养、替换故障部件等服务。此项目要求提供技术支持服务，处理用户出现的各种问题和故障，以保证用户工作的正常运行。应在接到故障通知2小时内作出有效响应，如需现场解决，到达现场时间不超过8小时，特殊情况下不超过24小时内到达现场免费予以排除故障、修复或更换零部件。如3个工作日内不能修复必须提供备用机使用，确保采购人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人员配备情况：本项目的保修服务方式均为上门保修，即由投标人派技术人员到采购单位使用现场维修，由此产生的一切费用均由投标人承担。售后人员配备不少于1人，提供售后人员相关信息及提供免费保修电话。</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）售后服务期满后，投标人仍有义务提供优惠的技术服务（包括提供设备维护、备件等）。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）售后服务期满后主要产品、配件优惠方案：售后服务期结束后，投标人应当提供保修服务，收取费用不得高于其他服务客户的费用。</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）投标人未在上述规定时间内履行售后服务义务的，采购人可选择是否委托第三方代为处理，由此产生的费用及损失均由投标人承担。</w:t>
      </w:r>
      <w:r/>
    </w:p>
    <w:p>
      <w:pPr>
        <w:ind w:left="0" w:right="0" w:firstLine="480"/>
        <w:keepLines w:val="0"/>
        <w:keepNext w:val="0"/>
        <w:pageBreakBefore w:val="0"/>
        <w:spacing w:beforeAutospacing="0" w:afterAutospacing="0" w:line="440" w:lineRule="exact"/>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采购需求清单中涉及软件产品的，采购方享有软件永久使用权。</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en-US" w:eastAsia="zh-CN"/>
        </w:rPr>
        <w:t xml:space="preserve">、报价要求</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报价内容包括：所需设备、材料、安装、调试、维护、培训、运输、施工、垃圾清扫和搬运、成品保护、检测、检验、利润、税金、政策性文件规定及本项目包含的所有风险、责任等各项应有费用。</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供应商报价时应充分考虑所有可能影响到报价的因素，一旦招标结束最终成交，总价将包定，不予调整。如发生漏、缺、少项，都将被认为是成交供应商的报价让利行为，损失自付。</w:t>
      </w:r>
      <w:r/>
    </w:p>
    <w:p>
      <w:pPr>
        <w:ind w:left="0" w:right="0"/>
        <w:spacing w:beforeAutospacing="0" w:afterAutospacing="0" w:line="44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r>
      <w:r/>
    </w:p>
    <w:p>
      <w:pPr>
        <w:ind w:left="0" w:right="0"/>
        <w:spacing w:beforeAutospacing="0" w:afterAutospacing="0" w:line="44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r>
      <w:r/>
    </w:p>
    <w:p>
      <w:pPr>
        <w:pStyle w:val="861"/>
        <w:ind w:left="0" w:right="0"/>
        <w:jc w:val="both"/>
        <w:spacing w:before="0" w:beforeAutospacing="0" w:after="0" w:afterAutospacing="0" w:line="440" w:lineRule="exact"/>
        <w:rPr>
          <w:rFonts w:hint="eastAsia" w:ascii="宋体" w:hAnsi="宋体" w:eastAsia="宋体" w:cs="宋体"/>
          <w:b/>
          <w:bCs/>
          <w:color w:val="auto"/>
          <w:sz w:val="24"/>
          <w:szCs w:val="24"/>
          <w:highlight w:val="none"/>
        </w:rPr>
      </w:pPr>
      <w:r/>
      <w:bookmarkStart w:id="120" w:name="_Toc143102494"/>
      <w:r/>
      <w:bookmarkEnd w:id="120"/>
      <w:r/>
      <w:bookmarkStart w:id="121" w:name="_Toc17633"/>
      <w:r/>
      <w:bookmarkEnd w:id="121"/>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22" w:name="_Toc176774461"/>
      <w:r/>
      <w:bookmarkStart w:id="123" w:name="_Toc7021"/>
      <w:r/>
      <w:bookmarkStart w:id="124" w:name="_Toc81575206"/>
      <w:r/>
      <w:bookmarkStart w:id="125" w:name="_Toc81575169"/>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861"/>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第五部分  合同格式及条款</w:t>
      </w:r>
      <w:bookmarkEnd w:id="122"/>
      <w:r/>
      <w:bookmarkEnd w:id="123"/>
      <w:r/>
      <w:bookmarkEnd w:id="124"/>
      <w:r/>
      <w:bookmarkEnd w:id="125"/>
      <w:r/>
      <w:r/>
    </w:p>
    <w:p>
      <w:pPr>
        <w:pStyle w:val="680"/>
        <w:ind w:left="0" w:right="0"/>
        <w:jc w:val="center"/>
        <w:spacing w:beforeAutospacing="0" w:afterAutospacing="0" w:line="440" w:lineRule="exact"/>
        <w:rPr>
          <w:rFonts w:hint="eastAsia" w:ascii="宋体" w:hAnsi="宋体" w:eastAsia="宋体" w:cs="宋体"/>
          <w:b/>
          <w:bCs/>
          <w:color w:val="auto"/>
          <w:spacing w:val="-20"/>
          <w:sz w:val="24"/>
          <w:szCs w:val="24"/>
          <w:highlight w:val="none"/>
        </w:rPr>
      </w:pPr>
      <w:r/>
      <w:bookmarkStart w:id="126" w:name="_Toc81575170"/>
      <w:r/>
      <w:bookmarkEnd w:id="126"/>
      <w:r/>
      <w:bookmarkStart w:id="127" w:name="_Toc19649"/>
      <w:r/>
      <w:bookmarkEnd w:id="127"/>
      <w:r/>
      <w:bookmarkStart w:id="128" w:name="_Toc81575207"/>
      <w:r/>
      <w:bookmarkEnd w:id="128"/>
      <w:r>
        <w:rPr>
          <w:rFonts w:hint="eastAsia" w:ascii="宋体" w:hAnsi="宋体" w:eastAsia="宋体" w:cs="宋体"/>
          <w:color w:val="auto"/>
          <w:sz w:val="24"/>
          <w:szCs w:val="24"/>
          <w:highlight w:val="none"/>
        </w:rPr>
        <w:t xml:space="preserve"> </w:t>
      </w:r>
      <w:r/>
    </w:p>
    <w:p>
      <w:pPr>
        <w:pStyle w:val="680"/>
        <w:ind w:left="0" w:right="0"/>
        <w:jc w:val="center"/>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t xml:space="preserve">政府采购</w:t>
      </w:r>
      <w:r>
        <w:rPr>
          <w:rFonts w:hint="eastAsia" w:ascii="宋体" w:hAnsi="宋体" w:eastAsia="宋体" w:cs="宋体"/>
          <w:b/>
          <w:bCs/>
          <w:color w:val="auto"/>
          <w:spacing w:val="-20"/>
          <w:sz w:val="24"/>
          <w:szCs w:val="24"/>
          <w:highlight w:val="none"/>
          <w:lang w:eastAsia="zh-CN"/>
        </w:rPr>
        <w:t xml:space="preserve">货物买卖</w:t>
      </w:r>
      <w:r>
        <w:rPr>
          <w:rFonts w:hint="eastAsia" w:ascii="宋体" w:hAnsi="宋体" w:eastAsia="宋体" w:cs="宋体"/>
          <w:b/>
          <w:bCs/>
          <w:color w:val="auto"/>
          <w:spacing w:val="-20"/>
          <w:sz w:val="24"/>
          <w:szCs w:val="24"/>
          <w:highlight w:val="none"/>
        </w:rPr>
        <w:t xml:space="preserve">合同</w:t>
      </w:r>
      <w:r/>
    </w:p>
    <w:p>
      <w:pPr>
        <w:pStyle w:val="680"/>
        <w:ind w:left="0" w:right="0"/>
        <w:jc w:val="center"/>
        <w:spacing w:beforeAutospacing="0" w:afterAutospacing="0" w:line="440" w:lineRule="exact"/>
        <w:rPr>
          <w:rFonts w:hint="eastAsia" w:ascii="宋体" w:hAnsi="宋体" w:eastAsia="宋体" w:cs="宋体"/>
          <w:b/>
          <w:bCs/>
          <w:color w:val="auto"/>
          <w:spacing w:val="-20"/>
          <w:sz w:val="24"/>
          <w:szCs w:val="24"/>
          <w:highlight w:val="none"/>
          <w:lang w:eastAsia="zh-CN"/>
        </w:rPr>
      </w:pPr>
      <w:r>
        <w:rPr>
          <w:rFonts w:hint="eastAsia" w:ascii="宋体" w:hAnsi="宋体" w:eastAsia="宋体" w:cs="宋体"/>
          <w:b/>
          <w:bCs/>
          <w:color w:val="auto"/>
          <w:spacing w:val="-20"/>
          <w:sz w:val="24"/>
          <w:szCs w:val="24"/>
          <w:highlight w:val="none"/>
          <w:lang w:eastAsia="zh-CN"/>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泗洪姜堰实验学校初中部功能室、实验室采购项目</w:t>
      </w:r>
      <w:r/>
    </w:p>
    <w:p>
      <w:pPr>
        <w:ind w:left="0" w:right="0"/>
        <w:spacing w:beforeAutospacing="0" w:afterAutospacing="0"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w:t>
      </w:r>
      <w:r>
        <w:rPr>
          <w:rFonts w:hint="eastAsia" w:ascii="宋体" w:hAnsi="宋体" w:cs="宋体"/>
          <w:color w:val="auto"/>
          <w:sz w:val="24"/>
          <w:szCs w:val="24"/>
          <w:highlight w:val="none"/>
          <w:u w:val="single"/>
          <w:lang w:eastAsia="zh-CN"/>
        </w:rPr>
        <w:t xml:space="preserve">泗洪姜堰实验学校</w:t>
      </w:r>
      <w:r>
        <w:rPr>
          <w:rFonts w:hint="eastAsia" w:ascii="宋体" w:hAnsi="宋体" w:eastAsia="宋体" w:cs="宋体"/>
          <w:color w:val="auto"/>
          <w:sz w:val="24"/>
          <w:szCs w:val="24"/>
          <w:highlight w:val="none"/>
          <w:u w:val="singl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    方：</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2025年  月  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29" w:name="_Toc22209"/>
      <w:r/>
      <w:bookmarkEnd w:id="129"/>
      <w:r/>
      <w:r/>
    </w:p>
    <w:p>
      <w:pPr>
        <w:pStyle w:val="668"/>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第一节 政府采购合同协议书</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w:t>
      </w:r>
      <w:r>
        <w:rPr>
          <w:rFonts w:hint="eastAsia" w:ascii="宋体" w:hAnsi="宋体" w:cs="宋体"/>
          <w:color w:val="auto"/>
          <w:sz w:val="24"/>
          <w:szCs w:val="24"/>
          <w:highlight w:val="none"/>
          <w:u w:val="single"/>
          <w:lang w:eastAsia="zh-CN"/>
        </w:rPr>
        <w:t xml:space="preserve">泗洪姜堰实验学校</w:t>
      </w:r>
      <w:r>
        <w:rPr>
          <w:rFonts w:hint="eastAsia" w:ascii="宋体" w:hAnsi="宋体" w:eastAsia="宋体" w:cs="宋体"/>
          <w:color w:val="auto"/>
          <w:sz w:val="24"/>
          <w:szCs w:val="24"/>
          <w:highlight w:val="none"/>
        </w:rPr>
        <w:t xml:space="preserve">（采购人）</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pStyle w:val="681"/>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3"/>
        </w:numPr>
        <w:ind w:left="0" w:right="0" w:firstLine="422"/>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项目信息</w:t>
      </w:r>
      <w:r/>
    </w:p>
    <w:p>
      <w:pPr>
        <w:numPr>
          <w:ilvl w:val="0"/>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u w:val="single"/>
          <w:lang w:eastAsia="zh-CN"/>
        </w:rPr>
        <w:t xml:space="preserve">泗洪姜堰实验学校初中部功能室、实验室采购项目</w:t>
      </w:r>
      <w:r>
        <w:rPr>
          <w:rFonts w:hint="eastAsia" w:ascii="宋体" w:hAnsi="宋体" w:eastAsia="宋体" w:cs="宋体"/>
          <w:color w:val="auto"/>
          <w:sz w:val="24"/>
          <w:szCs w:val="24"/>
          <w:highlight w:val="none"/>
        </w:rPr>
        <w:t xml:space="preserve">         </w:t>
      </w:r>
      <w:r/>
    </w:p>
    <w:p>
      <w:pPr>
        <w:pStyle w:val="681"/>
        <w:numPr>
          <w:ilvl w:val="255"/>
          <w:numId w:val="0"/>
        </w:numPr>
        <w:ind w:left="0" w:right="0" w:firstLine="480"/>
        <w:keepLines w:val="0"/>
        <w:keepNext w:val="0"/>
        <w:pageBreakBefore w:val="0"/>
        <w:spacing w:beforeAutospacing="0" w:afterAutospacing="0" w:line="440" w:lineRule="exact"/>
        <w:tabs>
          <w:tab w:val="left" w:pos="999"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采购项目编号：</w:t>
      </w:r>
      <w:r>
        <w:rPr>
          <w:rFonts w:hint="eastAsia" w:ascii="宋体" w:hAnsi="宋体" w:eastAsia="宋体" w:cs="宋体"/>
          <w:color w:val="auto"/>
          <w:sz w:val="24"/>
          <w:szCs w:val="24"/>
          <w:highlight w:val="none"/>
          <w:u w:val="single"/>
          <w:lang w:val="en-US" w:eastAsia="zh-CN"/>
        </w:rPr>
        <w:t xml:space="preserve">                        </w:t>
      </w:r>
      <w:r/>
    </w:p>
    <w:p>
      <w:pPr>
        <w:pStyle w:val="681"/>
        <w:numPr>
          <w:ilvl w:val="255"/>
          <w:numId w:val="0"/>
        </w:numPr>
        <w:ind w:left="0" w:right="0"/>
        <w:keepLines w:val="0"/>
        <w:keepNext w:val="0"/>
        <w:pageBreakBefore w:val="0"/>
        <w:spacing w:beforeAutospacing="0" w:afterAutospacing="0" w:line="440" w:lineRule="exact"/>
        <w:tabs>
          <w:tab w:val="left" w:pos="9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（2）采购计划编号：</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采购标的及数量（台/套</w:t>
      </w:r>
      <w:r>
        <w:rPr>
          <w:rFonts w:hint="eastAsia" w:ascii="宋体" w:hAnsi="宋体" w:eastAsia="宋体" w:cs="宋体"/>
          <w:color w:val="auto"/>
          <w:sz w:val="24"/>
          <w:szCs w:val="24"/>
          <w:highlight w:val="none"/>
          <w:lang w:val="en"/>
        </w:rPr>
        <w:t xml:space="preserve">/个/架/组等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
        </w:rPr>
        <w:t xml:space="preserve">     </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采购标的的技术要求、商务要求具体见附件。</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①涉及信息类产品，请填写该产品关键部件的品牌、型号：</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p>
    <w:p>
      <w:pPr>
        <w:numPr>
          <w:ilvl w:val="255"/>
          <w:numId w:val="0"/>
        </w:num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87"/>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②涉及车辆采购，请填写是否属于新能源汽车：</w:t>
      </w:r>
      <w:r/>
    </w:p>
    <w:p>
      <w:pPr>
        <w:pStyle w:val="887"/>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887"/>
        <w:numPr>
          <w:ilvl w:val="255"/>
          <w:numId w:val="0"/>
        </w:numPr>
        <w:ind w:left="0" w:right="0" w:hanging="33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4</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组织形式：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政府集中采购   □部门集中采购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分散采购</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5</w:t>
      </w:r>
      <w:r>
        <w:rPr>
          <w:rFonts w:hint="eastAsia" w:ascii="宋体" w:hAnsi="宋体" w:eastAsia="宋体" w:cs="宋体"/>
          <w:color w:val="auto"/>
          <w:sz w:val="24"/>
          <w:szCs w:val="24"/>
          <w:highlight w:val="none"/>
        </w:rPr>
        <w:t xml:space="preserve">）政府采购方式：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公开招标  □邀请招标  □竞争性谈判</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□竞争性磋商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□询价  □单一来源  □框架协议  □其他：</w:t>
      </w:r>
      <w:r>
        <w:rPr>
          <w:rFonts w:hint="eastAsia" w:ascii="宋体" w:hAnsi="宋体" w:eastAsia="宋体" w:cs="宋体"/>
          <w:color w:val="auto"/>
          <w:sz w:val="24"/>
          <w:szCs w:val="24"/>
          <w:highlight w:val="none"/>
          <w:u w:val="single"/>
        </w:rPr>
        <w:t xml:space="preserve">          </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（注：在框架协议采购的第二阶段，可选择使用该合同文本）</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6</w:t>
      </w:r>
      <w:r>
        <w:rPr>
          <w:rFonts w:hint="eastAsia" w:ascii="宋体" w:hAnsi="宋体" w:eastAsia="宋体" w:cs="宋体"/>
          <w:color w:val="auto"/>
          <w:sz w:val="24"/>
          <w:szCs w:val="24"/>
          <w:highlight w:val="none"/>
        </w:rPr>
        <w:t xml:space="preserve">）中标（成交）采购标的制造商是否为中小企业：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887"/>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本合同是否为专门面向中小企业的采购合同（中小企业预留合同）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若本项目不专门面向中小企业采购，是否给予小微企业评审优惠：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 xml:space="preserve">否</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中标（成交）采购标的制造商是否为残疾人福利性单位：</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中标（成交）采购标的制造商是否为监狱企业：</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7</w:t>
      </w:r>
      <w:r>
        <w:rPr>
          <w:rFonts w:hint="eastAsia" w:ascii="宋体" w:hAnsi="宋体" w:eastAsia="宋体" w:cs="宋体"/>
          <w:color w:val="auto"/>
          <w:sz w:val="24"/>
          <w:szCs w:val="24"/>
          <w:highlight w:val="none"/>
        </w:rPr>
        <w:t xml:space="preserve">）合同是否分包：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分包主要内容：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分包供应商/制造商名称（如供应商和制造商不同，请分别填写）：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分包供应商/制造商类型（如果供应商和制造商不同，只填写制造商类型）：</w:t>
      </w:r>
      <w:r/>
    </w:p>
    <w:p>
      <w:pPr>
        <w:ind w:left="0" w:right="0" w:firstLine="84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大型企业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中型企业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小微型企业  </w:t>
      </w:r>
      <w:r/>
    </w:p>
    <w:p>
      <w:pPr>
        <w:ind w:left="0" w:right="0" w:firstLine="84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残疾人福利性单位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监狱企业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其他</w:t>
      </w:r>
      <w:r/>
    </w:p>
    <w:p>
      <w:pPr>
        <w:ind w:left="0" w:right="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8</w:t>
      </w:r>
      <w:r>
        <w:rPr>
          <w:rFonts w:hint="eastAsia" w:ascii="宋体" w:hAnsi="宋体" w:eastAsia="宋体" w:cs="宋体"/>
          <w:color w:val="auto"/>
          <w:sz w:val="24"/>
          <w:szCs w:val="24"/>
          <w:highlight w:val="none"/>
        </w:rPr>
        <w:t xml:space="preserve">）中标（成交）供应商是否为外商投资企业：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pStyle w:val="887"/>
        <w:ind w:left="0" w:right="0" w:firstLine="420"/>
        <w:keepLines w:val="0"/>
        <w:keepNext w:val="0"/>
        <w:pageBreakBefore w:val="0"/>
        <w:spacing w:beforeAutospacing="0" w:afterAutospacing="0" w:line="440" w:lineRule="exact"/>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外商投资企业类型：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全部由外国投资者投资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部分由外国投资者投资</w:t>
      </w:r>
      <w:r/>
    </w:p>
    <w:p>
      <w:pPr>
        <w:numPr>
          <w:ilvl w:val="0"/>
          <w:numId w:val="4"/>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是否涉及进口产品：</w:t>
      </w:r>
      <w:r/>
    </w:p>
    <w:p>
      <w:pPr>
        <w:numPr>
          <w:ilvl w:val="0"/>
          <w:numId w:val="0"/>
        </w:num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国别：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
        </w:rPr>
        <w:t xml:space="preserve">0</w:t>
      </w:r>
      <w:r>
        <w:rPr>
          <w:rFonts w:hint="eastAsia" w:ascii="宋体" w:hAnsi="宋体" w:eastAsia="宋体" w:cs="宋体"/>
          <w:color w:val="auto"/>
          <w:sz w:val="24"/>
          <w:szCs w:val="24"/>
          <w:highlight w:val="none"/>
        </w:rPr>
        <w:t xml:space="preserve">）是否涉及节能产品：</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是，《节能产品政府采购品目清单》的底级品目名称：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是否涉及环境标志产品：</w:t>
      </w:r>
      <w:r/>
    </w:p>
    <w:p>
      <w:pPr>
        <w:numPr>
          <w:ilvl w:val="255"/>
          <w:numId w:val="0"/>
        </w:numPr>
        <w:ind w:left="0" w:right="0" w:firstLine="56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是，《环境标志产品政府采购品目清单》的底级品目名称：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是否涉及绿色产品： </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是，绿色产品政府采购相关政策确定的底级品目名称：</w:t>
      </w:r>
      <w:r>
        <w:rPr>
          <w:rFonts w:hint="eastAsia" w:ascii="宋体" w:hAnsi="宋体" w:eastAsia="宋体" w:cs="宋体"/>
          <w:color w:val="auto"/>
          <w:sz w:val="24"/>
          <w:szCs w:val="24"/>
          <w:highlight w:val="none"/>
          <w:u w:val="singl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887"/>
        <w:ind w:left="0" w:right="0" w:firstLine="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
        </w:rPr>
        <w:t xml:space="preserve">1</w:t>
      </w:r>
      <w:r>
        <w:rPr>
          <w:rFonts w:hint="eastAsia" w:ascii="宋体" w:hAnsi="宋体" w:eastAsia="宋体" w:cs="宋体"/>
          <w:color w:val="auto"/>
          <w:sz w:val="24"/>
          <w:szCs w:val="24"/>
          <w:highlight w:val="none"/>
        </w:rPr>
        <w:t xml:space="preserve">）涉及商品包装和快递包装的，是否参考《商品包装政府采购需求标准（试行）</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《快递包装政府采购需求标准（试行）》明确产品及相关快递服务的具体包装要求：</w:t>
      </w:r>
      <w:r/>
    </w:p>
    <w:p>
      <w:pPr>
        <w:numPr>
          <w:ilvl w:val="255"/>
          <w:numId w:val="0"/>
        </w:numPr>
        <w:ind w:left="0" w:right="0" w:firstLine="105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不涉及</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rPr>
        <w:t xml:space="preserve">合同金额</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分包金额（如有）小写：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（注：固定单价合同应填写单价和最高限价）</w:t>
      </w:r>
      <w:r/>
    </w:p>
    <w:p>
      <w:pPr>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（2）合同定价方式（采用组合定价方式的，可以勾选多项）：</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固定总价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固定单价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固定费率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成本补偿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绩效激励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其他</w:t>
      </w:r>
      <w:r>
        <w:rPr>
          <w:rFonts w:hint="eastAsia" w:ascii="宋体" w:hAnsi="宋体" w:eastAsia="宋体" w:cs="宋体"/>
          <w:color w:val="auto"/>
          <w:sz w:val="24"/>
          <w:szCs w:val="24"/>
          <w:highlight w:val="none"/>
          <w:u w:val="single"/>
        </w:rPr>
        <w:t xml:space="preserve">       </w:t>
      </w:r>
      <w:r/>
    </w:p>
    <w:p>
      <w:pPr>
        <w:pStyle w:val="888"/>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（3）付款方式：</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     （应明确一次性支付合同款项的条件）                    </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设备全部安装调试完毕稳定运行后，</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提供项目完整技术文档，采购人组织验收并出具验收报告，在收到</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发票后10个工作日内支付至合同总额的100%</w:t>
      </w:r>
      <w:r>
        <w:rPr>
          <w:rFonts w:hint="eastAsia" w:ascii="宋体" w:hAnsi="宋体" w:eastAsia="宋体" w:cs="宋体"/>
          <w:color w:val="auto"/>
          <w:sz w:val="24"/>
          <w:szCs w:val="24"/>
          <w:highlight w:val="none"/>
        </w:rPr>
        <w:t xml:space="preserve">，其中涉及预付款的：</w:t>
      </w:r>
      <w:r>
        <w:rPr>
          <w:rFonts w:hint="eastAsia" w:ascii="宋体" w:hAnsi="宋体" w:eastAsia="宋体" w:cs="宋体"/>
          <w:color w:val="auto"/>
          <w:sz w:val="24"/>
          <w:szCs w:val="24"/>
          <w:highlight w:val="none"/>
          <w:u w:val="single"/>
          <w:lang w:val="zh-CN"/>
        </w:rPr>
        <w:t xml:space="preserve">签订合同后，</w:t>
      </w:r>
      <w:r>
        <w:rPr>
          <w:rFonts w:hint="eastAsia" w:ascii="宋体" w:hAnsi="宋体" w:eastAsia="宋体" w:cs="宋体"/>
          <w:color w:val="auto"/>
          <w:sz w:val="24"/>
          <w:szCs w:val="24"/>
          <w:highlight w:val="none"/>
          <w:u w:val="single"/>
        </w:rPr>
        <w:t xml:space="preserve">自收到</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发票后10个工作日内</w:t>
      </w:r>
      <w:r>
        <w:rPr>
          <w:rFonts w:hint="eastAsia" w:ascii="宋体" w:hAnsi="宋体" w:eastAsia="宋体" w:cs="宋体"/>
          <w:color w:val="auto"/>
          <w:sz w:val="24"/>
          <w:szCs w:val="24"/>
          <w:highlight w:val="none"/>
          <w:u w:val="single"/>
          <w:lang w:val="zh-CN"/>
        </w:rPr>
        <w:t xml:space="preserve">支付</w:t>
      </w:r>
      <w:r>
        <w:rPr>
          <w:rFonts w:hint="eastAsia" w:ascii="宋体" w:hAnsi="宋体" w:eastAsia="宋体" w:cs="宋体"/>
          <w:color w:val="auto"/>
          <w:sz w:val="24"/>
          <w:szCs w:val="24"/>
          <w:highlight w:val="none"/>
          <w:u w:val="single"/>
          <w:lang w:val="en-US" w:eastAsia="zh-CN"/>
        </w:rPr>
        <w:t xml:space="preserve">预算金额</w:t>
      </w:r>
      <w:r>
        <w:rPr>
          <w:rFonts w:hint="eastAsia" w:ascii="宋体" w:hAnsi="宋体" w:eastAsia="宋体" w:cs="宋体"/>
          <w:color w:val="auto"/>
          <w:sz w:val="24"/>
          <w:szCs w:val="24"/>
          <w:highlight w:val="none"/>
          <w:u w:val="single"/>
          <w:lang w:val="zh-CN"/>
        </w:rPr>
        <w:t xml:space="preserve">的30%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（1）可以采用数字人民币支付。</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（2）资金支付的时间：收到供应商发票10个工作日内。</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（3）资金支付的条件：满足相应阶段的要求且收到供应商发票。</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（4）甲方根据乙方的实际供货数量按实结算，且不超过每分包总预算金额。</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（5）在签订合同时，供应商明确表示无需预付款或者主动要求降低预付款比例的，采购人可不适用前述规定。</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（应明确按照成本补偿方式的支付方式和支付条件）</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（应明确按照绩效激励方式的支付方式和支付条件）</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rPr>
        <w:t xml:space="preserve">合同履行</w:t>
      </w:r>
      <w:r/>
    </w:p>
    <w:p>
      <w:pPr>
        <w:numPr>
          <w:ilvl w:val="0"/>
          <w:numId w:val="0"/>
        </w:numPr>
        <w:ind w:left="0" w:right="0" w:firstLine="420"/>
        <w:keepLines w:val="0"/>
        <w:keepNext w:val="0"/>
        <w:pageBreakBefore w:val="0"/>
        <w:spacing w:beforeAutospacing="0" w:afterAutospacing="0" w:line="440" w:lineRule="exact"/>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u w:val="none"/>
          <w:lang w:eastAsia="zh-CN"/>
        </w:rPr>
        <w:t xml:space="preserve">交货时间：</w:t>
      </w:r>
      <w:r>
        <w:rPr>
          <w:rFonts w:hint="eastAsia" w:ascii="宋体" w:hAnsi="宋体" w:eastAsia="宋体" w:cs="宋体"/>
          <w:bCs/>
          <w:color w:val="auto"/>
          <w:sz w:val="24"/>
          <w:szCs w:val="24"/>
          <w:highlight w:val="none"/>
          <w:u w:val="single"/>
          <w:lang w:eastAsia="zh-CN"/>
        </w:rPr>
        <w:t xml:space="preserve">采购合同签订后</w:t>
      </w:r>
      <w:r>
        <w:rPr>
          <w:rFonts w:hint="eastAsia" w:ascii="宋体" w:hAnsi="宋体" w:cs="宋体"/>
          <w:bCs/>
          <w:color w:val="auto"/>
          <w:sz w:val="24"/>
          <w:szCs w:val="24"/>
          <w:highlight w:val="none"/>
          <w:u w:val="single"/>
          <w:lang w:val="en-US" w:eastAsia="zh-CN"/>
        </w:rPr>
        <w:t xml:space="preserve">45</w:t>
      </w:r>
      <w:r>
        <w:rPr>
          <w:rFonts w:hint="eastAsia" w:ascii="宋体" w:hAnsi="宋体" w:eastAsia="宋体" w:cs="宋体"/>
          <w:bCs/>
          <w:color w:val="auto"/>
          <w:sz w:val="24"/>
          <w:szCs w:val="24"/>
          <w:highlight w:val="none"/>
          <w:u w:val="single"/>
          <w:lang w:eastAsia="zh-CN"/>
        </w:rPr>
        <w:t xml:space="preserve">日历天内全部供货安装完毕并交付使用</w:t>
      </w:r>
      <w:r>
        <w:rPr>
          <w:rFonts w:hint="eastAsia" w:ascii="宋体" w:hAnsi="宋体" w:eastAsia="宋体" w:cs="宋体"/>
          <w:bCs/>
          <w:color w:val="auto"/>
          <w:sz w:val="24"/>
          <w:szCs w:val="24"/>
          <w:highlight w:val="none"/>
          <w:u w:val="none"/>
          <w:lang w:eastAsia="zh-CN"/>
        </w:rPr>
        <w:t xml:space="preserve">。</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交货</w:t>
      </w:r>
      <w:r>
        <w:rPr>
          <w:rFonts w:hint="eastAsia" w:ascii="宋体" w:hAnsi="宋体" w:eastAsia="宋体" w:cs="宋体"/>
          <w:color w:val="auto"/>
          <w:sz w:val="24"/>
          <w:szCs w:val="24"/>
          <w:highlight w:val="none"/>
        </w:rPr>
        <w:t xml:space="preserve">地点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采购人指定地点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rPr>
        <w:t xml:space="preserve">是否收取履约保证金：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887"/>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收取履约保证金形式：</w:t>
      </w:r>
      <w:r>
        <w:rPr>
          <w:rFonts w:hint="eastAsia" w:ascii="宋体" w:hAnsi="宋体" w:eastAsia="宋体" w:cs="宋体"/>
          <w:bCs/>
          <w:color w:val="auto"/>
          <w:sz w:val="24"/>
          <w:szCs w:val="24"/>
          <w:highlight w:val="none"/>
          <w:u w:val="single"/>
        </w:rPr>
        <w:t xml:space="preserve">                            </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收取履约保证金金额：</w:t>
      </w:r>
      <w:r>
        <w:rPr>
          <w:rFonts w:hint="eastAsia" w:ascii="宋体" w:hAnsi="宋体" w:eastAsia="宋体" w:cs="宋体"/>
          <w:color w:val="auto"/>
          <w:sz w:val="24"/>
          <w:szCs w:val="24"/>
          <w:highlight w:val="none"/>
          <w:u w:val="single"/>
          <w:lang w:val="en-US" w:eastAsia="zh-CN"/>
        </w:rPr>
        <w:t xml:space="preserve">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履约担保期限：</w:t>
      </w:r>
      <w:r>
        <w:rPr>
          <w:rFonts w:hint="eastAsia" w:ascii="宋体" w:hAnsi="宋体" w:eastAsia="宋体" w:cs="宋体"/>
          <w:bCs/>
          <w:color w:val="auto"/>
          <w:sz w:val="24"/>
          <w:szCs w:val="24"/>
          <w:highlight w:val="none"/>
          <w:u w:val="single"/>
        </w:rPr>
        <w:t xml:space="preserve">                                  </w:t>
      </w:r>
      <w:r/>
    </w:p>
    <w:p>
      <w:pPr>
        <w:numPr>
          <w:ilvl w:val="0"/>
          <w:numId w:val="5"/>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6"/>
        </w:num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自行组织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委托第三方组织</w:t>
      </w:r>
      <w:r/>
    </w:p>
    <w:p>
      <w:pPr>
        <w:numPr>
          <w:ilvl w:val="0"/>
          <w:numId w:val="0"/>
        </w:num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验收主体：</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泗洪姜堰实验学校</w:t>
      </w:r>
      <w:r>
        <w:rPr>
          <w:rFonts w:hint="eastAsia" w:ascii="宋体" w:hAnsi="宋体" w:eastAsia="宋体" w:cs="宋体"/>
          <w:bCs/>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是否邀请本项目的其他供应商参加验收：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是否进行抽查检测：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是，抽查比例：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是否存在破坏性检测：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u w:val="single"/>
        </w:rPr>
        <w:t xml:space="preserve">（应明确对被破坏的检测产品的处理方式）</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验收组织的其他事项：</w:t>
      </w:r>
      <w:r>
        <w:rPr>
          <w:rFonts w:hint="eastAsia" w:ascii="宋体" w:hAnsi="宋体" w:eastAsia="宋体" w:cs="宋体"/>
          <w:bCs/>
          <w:color w:val="auto"/>
          <w:sz w:val="24"/>
          <w:szCs w:val="24"/>
          <w:highlight w:val="none"/>
          <w:u w:val="single"/>
        </w:rPr>
        <w:t xml:space="preserve"> 无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（计划于何时验收/供应商提出验收申请之日起 3日内组织验收）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一次性验收         </w:t>
      </w:r>
      <w:r/>
    </w:p>
    <w:p>
      <w:pPr>
        <w:ind w:left="0" w:right="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u w:val="single"/>
        </w:rPr>
        <w:t xml:space="preserve"> （应明确分期</w:t>
      </w:r>
      <w:r>
        <w:rPr>
          <w:rFonts w:hint="eastAsia" w:ascii="宋体" w:hAnsi="宋体" w:eastAsia="宋体" w:cs="宋体"/>
          <w:bCs/>
          <w:color w:val="auto"/>
          <w:sz w:val="24"/>
          <w:szCs w:val="24"/>
          <w:highlight w:val="none"/>
          <w:u w:val="single"/>
          <w:lang w:val="en"/>
        </w:rPr>
        <w:t xml:space="preserve">/分项验收的工作安排</w:t>
      </w:r>
      <w:r>
        <w:rPr>
          <w:rFonts w:hint="eastAsia" w:ascii="宋体" w:hAnsi="宋体" w:eastAsia="宋体" w:cs="宋体"/>
          <w:bCs/>
          <w:color w:val="auto"/>
          <w:sz w:val="24"/>
          <w:szCs w:val="24"/>
          <w:highlight w:val="none"/>
          <w:u w:val="single"/>
        </w:rPr>
        <w:t xml:space="preserve">）  </w:t>
      </w:r>
      <w:r/>
    </w:p>
    <w:p>
      <w:pPr>
        <w:numPr>
          <w:ilvl w:val="0"/>
          <w:numId w:val="7"/>
        </w:num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履约验收程序：</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4.1甲方</w:t>
      </w:r>
      <w:r>
        <w:rPr>
          <w:rFonts w:hint="eastAsia" w:ascii="宋体" w:hAnsi="宋体" w:eastAsia="宋体" w:cs="宋体"/>
          <w:color w:val="auto"/>
          <w:sz w:val="24"/>
          <w:szCs w:val="24"/>
          <w:highlight w:val="none"/>
          <w:u w:val="single"/>
          <w:lang w:eastAsia="zh-CN"/>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w:t>
      </w:r>
      <w:r>
        <w:rPr>
          <w:rFonts w:hint="eastAsia" w:ascii="宋体" w:hAnsi="宋体" w:eastAsia="宋体" w:cs="宋体"/>
          <w:color w:val="auto"/>
          <w:sz w:val="24"/>
          <w:szCs w:val="24"/>
          <w:highlight w:val="none"/>
          <w:u w:val="single"/>
          <w:lang w:val="en-US" w:eastAsia="zh-CN"/>
        </w:rPr>
        <w:t xml:space="preserve">工作</w:t>
      </w:r>
      <w:r>
        <w:rPr>
          <w:rFonts w:hint="eastAsia" w:ascii="宋体" w:hAnsi="宋体" w:eastAsia="宋体" w:cs="宋体"/>
          <w:color w:val="auto"/>
          <w:sz w:val="24"/>
          <w:szCs w:val="24"/>
          <w:highlight w:val="none"/>
          <w:u w:val="single"/>
          <w:lang w:eastAsia="zh-CN"/>
        </w:rPr>
        <w:t xml:space="preserve">人员在使用过程中提出质量等异议或举报有质量问题时，产品收货单位应实施复核，费用由乙方承担。</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.2 乙方交货前应对产品作出全面检查和对验收文件进行整理，并列出清单，作为收货验收和使用的技术条件依据。</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.3 乙方提供的货物，在</w:t>
      </w:r>
      <w:r>
        <w:rPr>
          <w:rFonts w:hint="eastAsia" w:ascii="宋体" w:hAnsi="宋体" w:eastAsia="宋体" w:cs="宋体"/>
          <w:color w:val="auto"/>
          <w:sz w:val="24"/>
          <w:szCs w:val="24"/>
          <w:highlight w:val="none"/>
          <w:u w:val="single"/>
          <w:lang w:val="en-US" w:eastAsia="zh-CN"/>
        </w:rPr>
        <w:t xml:space="preserve">使用方</w:t>
      </w:r>
      <w:r>
        <w:rPr>
          <w:rFonts w:hint="eastAsia" w:ascii="宋体" w:hAnsi="宋体" w:eastAsia="宋体" w:cs="宋体"/>
          <w:color w:val="auto"/>
          <w:sz w:val="24"/>
          <w:szCs w:val="24"/>
          <w:highlight w:val="none"/>
          <w:u w:val="single"/>
          <w:lang w:eastAsia="zh-CN"/>
        </w:rPr>
        <w:t xml:space="preserve">使用前，需由乙方提供相关技术培训，并在使用的前三个月为</w:t>
      </w:r>
      <w:r>
        <w:rPr>
          <w:rFonts w:hint="eastAsia" w:ascii="宋体" w:hAnsi="宋体" w:eastAsia="宋体" w:cs="宋体"/>
          <w:color w:val="auto"/>
          <w:sz w:val="24"/>
          <w:szCs w:val="24"/>
          <w:highlight w:val="none"/>
          <w:u w:val="single"/>
          <w:lang w:val="en-US" w:eastAsia="zh-CN"/>
        </w:rPr>
        <w:t xml:space="preserve">使用方</w:t>
      </w:r>
      <w:r>
        <w:rPr>
          <w:rFonts w:hint="eastAsia" w:ascii="宋体" w:hAnsi="宋体" w:eastAsia="宋体" w:cs="宋体"/>
          <w:color w:val="auto"/>
          <w:sz w:val="24"/>
          <w:szCs w:val="24"/>
          <w:highlight w:val="none"/>
          <w:u w:val="single"/>
          <w:lang w:eastAsia="zh-CN"/>
        </w:rPr>
        <w:t xml:space="preserve">提供必要的协助，直到符合有关要求，</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才做最终验收。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.4 对技术复杂的货物，</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可申请国家认可的专业检测机构参与初步验收及最终验收，并由其出具质量检测报告。</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）履约验收的内容</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按照采购合同的约定对每一项技术、服务、安全标准的履约情况进行确认。</w:t>
      </w:r>
      <w:r/>
    </w:p>
    <w:p>
      <w:pPr>
        <w:pStyle w:val="887"/>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lang w:eastAsia="zh-CN"/>
        </w:rPr>
        <w:t xml:space="preserve">）履约验收标准：依据招标文件上的技术规格要求和国家有关质量标准，同时服从甲方安排要求。</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（7）是否以采购活动中供应商提供的样品作为参考：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color w:val="auto"/>
          <w:sz w:val="24"/>
          <w:szCs w:val="24"/>
          <w:highlight w:val="none"/>
          <w:u w:val="single"/>
        </w:rPr>
        <w:t xml:space="preserve">/。</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rPr>
        <w:t xml:space="preserve">组成合同的文件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rPr>
        <w:t xml:space="preserve">合同生效</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签订之日起 </w:t>
      </w:r>
      <w:r>
        <w:rPr>
          <w:rFonts w:hint="eastAsia" w:ascii="宋体" w:hAnsi="宋体" w:eastAsia="宋体" w:cs="宋体"/>
          <w:color w:val="auto"/>
          <w:sz w:val="24"/>
          <w:szCs w:val="24"/>
          <w:highlight w:val="none"/>
        </w:rPr>
        <w:t xml:space="preserve">生效。</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rPr>
        <w:t xml:space="preserve">合同份数</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肆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份，均具有同等法律效力。</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附件：具体标的及其技术要求和商务要求、分包意向协议等。</w:t>
      </w:r>
      <w:r/>
    </w:p>
    <w:p>
      <w:pPr>
        <w:pStyle w:val="888"/>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68"/>
        <w:ind w:left="0" w:right="0"/>
        <w:spacing w:before="0" w:beforeAutospacing="0" w:after="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88"/>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bl>
      <w:tblPr>
        <w:tblStyle w:val="67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554"/>
        <w:gridCol w:w="1836"/>
        <w:gridCol w:w="2118"/>
      </w:tblGrid>
      <w:tr>
        <w:trPr>
          <w:trHeight w:val="1105"/>
        </w:trPr>
        <w:tc>
          <w:tcPr>
            <w:gridSpan w:val="2"/>
            <w:tcBorders>
              <w:bottom w:val="single" w:color="auto" w:sz="2" w:space="0"/>
              <w:right w:val="single" w:color="auto" w:sz="2" w:space="0"/>
            </w:tcBorders>
            <w:tcW w:w="264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354"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泗洪姜堰实验学校</w:t>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left="0" w:right="0" w:firstLine="10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520" w:type="pct"/>
            <w:vAlign w:val="center"/>
            <w:vMerge w:val="restart"/>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16"/>
        </w:trPr>
        <w:tc>
          <w:tcPr>
            <w:tcBorders>
              <w:bottom w:val="single" w:color="auto" w:sz="2" w:space="0"/>
              <w:right w:val="single" w:color="auto" w:sz="2" w:space="0"/>
            </w:tcBorders>
            <w:tcW w:w="1125" w:type="pct"/>
            <w:vAlign w:val="center"/>
            <w:vMerge w:val="continue"/>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520" w:type="pct"/>
            <w:vAlign w:val="center"/>
            <w:vMerge w:val="continue"/>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bl>
    <w:p>
      <w:pPr>
        <w:pStyle w:val="668"/>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u w:val="single"/>
        </w:rPr>
        <w:br w:type="page" w:clear="all"/>
      </w:r>
      <w:bookmarkStart w:id="130" w:name="_Toc27624"/>
      <w:r>
        <w:rPr>
          <w:rFonts w:hint="eastAsia" w:ascii="宋体" w:hAnsi="宋体" w:eastAsia="宋体" w:cs="宋体"/>
          <w:b/>
          <w:bCs/>
          <w:color w:val="auto"/>
          <w:sz w:val="24"/>
          <w:szCs w:val="24"/>
          <w:highlight w:val="none"/>
        </w:rPr>
        <w:t xml:space="preserve">第二节 政府采购合同通用条款</w:t>
      </w:r>
      <w:bookmarkEnd w:id="130"/>
      <w:r/>
      <w:r/>
    </w:p>
    <w:p>
      <w:pPr>
        <w:ind w:left="0" w:right="0"/>
        <w:jc w:val="left"/>
        <w:keepLines w:val="0"/>
        <w:keepNext w:val="0"/>
        <w:pageBreakBefore w:val="0"/>
        <w:spacing w:beforeAutospacing="0" w:afterAutospacing="0" w:line="44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bCs/>
          <w:color w:val="auto"/>
          <w:sz w:val="24"/>
          <w:szCs w:val="24"/>
          <w:highlight w:val="none"/>
        </w:rPr>
        <w:t xml:space="preserve">定义</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技术资料和材料等。</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8"/>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left="0" w:right="0" w:firstLine="420"/>
        <w:jc w:val="left"/>
        <w:keepLines w:val="0"/>
        <w:keepNext w:val="0"/>
        <w:pageBreakBefore w:val="0"/>
        <w:spacing w:beforeAutospacing="0" w:afterAutospacing="0" w:line="440" w:lineRule="exact"/>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任何费用。</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履行合同的时间、地点和方式</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乙方应当在约定的时间、地点，按照约定方式履行合同。</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 甲方的权利和义务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甲方有权要求乙方对缺陷部分予以修复，并按合同约定享有货物保修及其他合同约定的权利。</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乙方的权利和义务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签署合同后，乙方应确定项目负责人（或项目联系人），负责与本合同有关的事务。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80"/>
        <w:ind w:left="0" w:right="0" w:firstLine="369"/>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680"/>
        <w:ind w:left="0" w:right="0" w:firstLine="369"/>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9"/>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货物包装、运输、保险和交付要求</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乙方在运输到达之前应提前通知甲方，并提示货物运输装卸的注意事项，甲方配合乙方做好货物的接收工作。</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质量标准和保证</w:t>
      </w:r>
      <w:r/>
    </w:p>
    <w:p>
      <w:pPr>
        <w:pStyle w:val="685"/>
        <w:ind w:left="0" w:right="0" w:firstLine="42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 质量标准</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85"/>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保证</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 权利瑕疵担保</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乙方保证对其出售的货物享有合法的权利。</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乙方保证在交付的货物上不存在抵押权等担保物权。</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如甲方使用上述货物构成对第三人侵权的，则由乙方承担全部责任。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知识产权保护</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乙方对其所销售的货物应当享有知识产权或经权利人合法授权，保证没有侵犯任何第三人的知识产权等权利。</w:t>
      </w:r>
      <w:bookmarkStart w:id="131"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1"/>
      <w:r>
        <w:rPr>
          <w:rFonts w:hint="eastAsia" w:ascii="宋体" w:hAnsi="宋体" w:eastAsia="宋体" w:cs="宋体"/>
          <w:color w:val="auto"/>
          <w:sz w:val="24"/>
          <w:szCs w:val="24"/>
          <w:highlight w:val="none"/>
        </w:rPr>
        <w:t xml:space="preserve">。</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保密义务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合同价款支付</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合同价款支付按照国库集中支付制度及财政管理相关规定执行。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pStyle w:val="680"/>
        <w:ind w:left="0" w:right="0"/>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乙方</w:t>
      </w:r>
      <w:r>
        <w:rPr>
          <w:rFonts w:hint="eastAsia" w:ascii="宋体" w:hAnsi="宋体" w:eastAsia="宋体" w:cs="宋体"/>
          <w:color w:val="auto"/>
          <w:sz w:val="24"/>
          <w:szCs w:val="24"/>
          <w:highlight w:val="none"/>
          <w:lang w:val="zh-CN"/>
        </w:rPr>
        <w:t xml:space="preserve">除银行电汇、网上银行、数字人民币外，</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zh-CN"/>
        </w:rPr>
        <w:t xml:space="preserve">还可选用银行保函、担保公司的保证担保或保险公司的保证保险、等多种形式向</w:t>
      </w:r>
      <w:r>
        <w:rPr>
          <w:rFonts w:hint="eastAsia" w:ascii="宋体" w:hAnsi="宋体" w:eastAsia="宋体" w:cs="宋体"/>
          <w:color w:val="auto"/>
          <w:sz w:val="24"/>
          <w:szCs w:val="24"/>
          <w:highlight w:val="none"/>
        </w:rPr>
        <w:t xml:space="preserve">甲方提交。</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 xml:space="preserve">售后服务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除项目不涉及或采购活动中明确约定无须承担外，乙方还应提供下列服务：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乙方提供的售后服务的费用已包含在合同价款中，甲方不再另行支付。</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 迟延交货的违约责任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迟延支付的违约责任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10"/>
        </w:num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合同变更、中止与终止</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16.1合同的变更</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pStyle w:val="887"/>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合同分包</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不可抗力</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不可抗力是指合同双方不能预见、不能避免且不能克服的客观情况。</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解决争议的方法</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 政府采购政策</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GB"/>
        </w:rPr>
        <w:t xml:space="preserve">本合同应当按照规定执行政府采购政策。</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680"/>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法律适用</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numPr>
          <w:ilvl w:val="255"/>
          <w:numId w:val="0"/>
        </w:num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通知</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887"/>
        <w:ind w:left="0" w:right="0" w:firstLine="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11"/>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23.2 合同附件与合同正文具有同等的法律效力。</w:t>
      </w:r>
      <w:bookmarkStart w:id="132" w:name="_Toc20313"/>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6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第三节 政府采购合同专用条款</w:t>
      </w:r>
      <w:bookmarkEnd w:id="132"/>
      <w:r/>
      <w:r/>
    </w:p>
    <w:tbl>
      <w:tblPr>
        <w:tblStyle w:val="677"/>
        <w:tblW w:w="8937" w:type="dxa"/>
        <w:tblInd w:w="-18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00"/>
        <w:gridCol w:w="1812"/>
        <w:gridCol w:w="5225"/>
      </w:tblGrid>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第1.2（6）项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联合体具体要求</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604"/>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第1.2（7）项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其他术语解释</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第4.4款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履约验收中甲方提出异议或作出说明的期限</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履约验收中甲方提出异议的期限：3个工作日。</w:t>
            </w:r>
            <w:r/>
          </w:p>
          <w:p>
            <w:pPr>
              <w:pStyle w:val="887"/>
              <w:ind w:left="0" w:right="0" w:firstLine="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或履约验收中甲方作出说明的期限：3个工作日。</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第4.6款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约定甲方承担的其他义务和责任</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第5.4款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约定乙方承担的其他义务和责任</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履行合同义务的顺序</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tc>
      </w:tr>
      <w:tr>
        <w:trPr>
          <w:trHeight w:val="667"/>
        </w:trPr>
        <w:tc>
          <w:tcPr>
            <w:tcW w:w="1900" w:type="dxa"/>
            <w:vAlign w:val="center"/>
            <w:vMerge w:val="restart"/>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包装特殊要求</w:t>
            </w:r>
            <w:r/>
          </w:p>
        </w:tc>
        <w:tc>
          <w:tcPr>
            <w:tcW w:w="5225" w:type="dxa"/>
            <w:vAlign w:val="center"/>
            <w:textDirection w:val="lrTb"/>
            <w:noWrap w:val="false"/>
          </w:tcPr>
          <w:p>
            <w:pPr>
              <w:ind w:left="0" w:right="0" w:firstLine="24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商品包装、快递包装政府采购需求标准</w:t>
            </w:r>
            <w:r/>
          </w:p>
          <w:p>
            <w:pPr>
              <w:ind w:left="0" w:right="0" w:firstLine="24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商品包装环保要求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（1）商品包装层数不得超过 3 层，空隙率不大于 40%；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（2）商品包装尽可能使用单一材质的包装材料，如因功能 需求</w:t>
            </w:r>
            <w:r>
              <w:rPr>
                <w:rFonts w:hint="eastAsia" w:ascii="宋体" w:hAnsi="宋体" w:cs="宋体"/>
                <w:color w:val="auto"/>
                <w:sz w:val="24"/>
                <w:szCs w:val="24"/>
                <w:highlight w:val="none"/>
                <w:u w:val="none"/>
                <w:lang w:eastAsia="zh-CN"/>
              </w:rPr>
              <w:t xml:space="preserve">必须</w:t>
            </w:r>
            <w:r>
              <w:rPr>
                <w:rFonts w:hint="eastAsia" w:ascii="宋体" w:hAnsi="宋体" w:eastAsia="宋体" w:cs="宋体"/>
                <w:color w:val="auto"/>
                <w:sz w:val="24"/>
                <w:szCs w:val="24"/>
                <w:highlight w:val="none"/>
                <w:u w:val="none"/>
              </w:rPr>
              <w:t xml:space="preserve">使用不同材质，不同材质间应便于分离；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（3）商品包装中铅、汞、镉、六价铬的总含量应不大于 100mg/kg；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（4）商品包装印刷使用的油墨中挥发性有机化合物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 含量应不大于 5%（以重量计）；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（5）塑料材质商品包装上呈现的印刷颜色不得超过 6 色；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（6）纸质商品包装应使用 75%以上的可再生纤维原料生产；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（7）木质商品包装的原料应来源于可持续性森林。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注：检测方法 1.商品包装中重金属（铅、汞、镉、六价铬）总量的检 测按照 GB/T 10004-2008《包装用塑料复合膜、袋干法复合、 挤出复合》规定的方法进行。 2.商品包装印刷使用的油墨中挥发性有机化合物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 的检测按照 GB/T 23986-2009《色漆和清漆挥发性有机化合 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含量的测定 气相色谱法》规定的方法。</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快递包装环保要求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（1）快递包装中重金属（铅、汞、镉、六价铬）总量应不大于100mg/kg；</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（2）快递包装印刷使用的油墨中不应添加邻苯二甲酸酯，其挥发性有机化合物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含量应不大于5%（以重量计）；</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（3）快递包装中使用纸基材的包装材料，纸基材中的有机氯的含量应不大于150 mg/kg；</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（4）快递包装中使用塑料基材的包装材料不得使用邻苯二甲酸二异壬酯、邻苯二甲酸二正辛酯、邻苯二甲酸二</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2-乙基</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己酯、邻苯二甲酸二异癸酯、邻苯二甲酸丁基苄基酯、邻苯二甲酸二丁酯等作为增塑剂；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（5）快递中使用的塑料包装袋不得使用聚氯乙烯作为原料，且原料应为单一材质制成，生物分解率大于60%；</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（6）快递中使用的充气类填充物不得使用聚氯乙烯作为原料，且原料为单一材质制成，生物分解率大于60%；</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（7）快递中使用的集装袋应为单一材质制成，其重复使用次数应不小于80 次；</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（8）快递中应使用幅宽不大于45mm 的生物降解胶带；</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（9）快递包装中不得使用溶剂型胶粘剂；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（10）快递应使用电子面单；</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（11）直接使用商品包装作为快递包装的商品，其商品包装满足《商品包装政府采购需求标准（试行）》即可；</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（12）快递包装产品质量和封装方式应符合相关国家或行业标准技术指标要求。</w:t>
            </w:r>
            <w:r/>
          </w:p>
        </w:tc>
      </w:tr>
      <w:tr>
        <w:trPr>
          <w:trHeight w:val="667"/>
        </w:trPr>
        <w:tc>
          <w:tcPr>
            <w:tcW w:w="1900" w:type="dxa"/>
            <w:vAlign w:val="center"/>
            <w:vMerge w:val="continue"/>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指定现场</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甲方指定地点。</w:t>
            </w:r>
            <w:r/>
          </w:p>
        </w:tc>
      </w:tr>
      <w:tr>
        <w:trPr>
          <w:trHeight w:val="772"/>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第7.2款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运输特殊要求</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由乙方视情况自定运输方式，费用自负。</w:t>
            </w:r>
            <w:r/>
          </w:p>
        </w:tc>
      </w:tr>
      <w:tr>
        <w:trPr>
          <w:trHeight w:val="667"/>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第7.3款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第8.2（1）项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5225" w:type="dxa"/>
            <w:vAlign w:val="center"/>
            <w:textDirection w:val="lrTb"/>
            <w:noWrap w:val="false"/>
          </w:tcPr>
          <w:p>
            <w:pPr>
              <w:ind w:left="0" w:right="0" w:firstLine="42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设备验收通过之日起，提供</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年的原厂免费全保。</w:t>
            </w:r>
            <w:r/>
          </w:p>
          <w:p>
            <w:pPr>
              <w:numPr>
                <w:ilvl w:val="0"/>
                <w:numId w:val="0"/>
              </w:numPr>
              <w:ind w:left="0" w:right="0"/>
              <w:jc w:val="left"/>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备注：签订合同时根据乙方投标文件响应内容调整。</w:t>
            </w:r>
            <w:r/>
          </w:p>
        </w:tc>
      </w:tr>
      <w:tr>
        <w:trPr>
          <w:trHeight w:val="90"/>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第8.2（3）项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货物质量缺陷</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W w:w="5225" w:type="dxa"/>
            <w:vAlign w:val="center"/>
            <w:textDirection w:val="lrTb"/>
            <w:noWrap w:val="false"/>
          </w:tcPr>
          <w:p>
            <w:pPr>
              <w:ind w:left="0" w:right="0" w:firstLine="42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全保期内，应在接到故障通知2小时内作出有效响应，如需现场解决，到达现场时间不超过8小时，特殊情况下不超过24小时内到达现场免费予以排除故障、修复或更换零部件。确保甲方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周期内，保证更换到原厂配件。如3个工作日内不能修复必须提供备用机使用，确保甲方能正常开展工作，设备在设计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w:t>
            </w:r>
            <w:r/>
          </w:p>
          <w:p>
            <w:pPr>
              <w:pStyle w:val="889"/>
              <w:ind w:left="0" w:right="0" w:firstLine="420"/>
              <w:spacing w:beforeAutospacing="0" w:afterAutospacing="0" w:line="440" w:lineRule="exact"/>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szCs w:val="24"/>
                <w:highlight w:val="none"/>
                <w:lang w:val="en-US" w:eastAsia="zh-CN" w:bidi="ar-SA"/>
              </w:rPr>
              <w:t xml:space="preserve">备注：签订合同时根据乙方投标文件响应内容调整。</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pStyle w:val="887"/>
              <w:ind w:left="0" w:right="0" w:firstLine="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81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其他应当保密的信息</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697"/>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第12.2款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合同价款支付时间</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自收到乙方发票后10个工作日内。</w:t>
            </w:r>
            <w:r/>
          </w:p>
        </w:tc>
      </w:tr>
      <w:tr>
        <w:trPr>
          <w:trHeight w:val="697"/>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第13.2款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第13.3款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履约保证金退还时间及逾期退还的违约金</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不涉及</w:t>
            </w:r>
            <w:r/>
          </w:p>
        </w:tc>
      </w:tr>
      <w:tr>
        <w:trPr>
          <w:trHeight w:val="784"/>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第14.1（3）项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运行监督、维修期限</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设备验收通过之日起，提供3年的原厂免费全保。</w:t>
            </w:r>
            <w:r/>
          </w:p>
          <w:p>
            <w:pPr>
              <w:ind w:left="0" w:right="0" w:firstLine="420"/>
              <w:jc w:val="left"/>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备注：签订合同时根据乙方投标文件响应内容调整。</w:t>
            </w:r>
            <w:r/>
          </w:p>
        </w:tc>
      </w:tr>
      <w:tr>
        <w:trPr>
          <w:trHeight w:val="784"/>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第14.1（5）项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货物回收的约定</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由甲乙双方合议定价。</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第14.1（6）项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详见乙方</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修理、重</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、更换相关具体规定</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1.乙方应按招标文件规定的货物性能、技术要求、质量标准向甲方提供未经使用的全新产品。</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2.乙方提供的货物在售后服务期内因货物本身的质量问题发生故障，乙方应负责免费更换。对达不到技术要求者，根据实际情况，经双方协商，可按以下办法处理：</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⑴修理、重作、更换：由乙方承担所发生的全部费用。</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⑵贬值处理：由甲乙双方合议定价。</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w:t>
            </w:r>
            <w:r>
              <w:rPr>
                <w:rFonts w:hint="eastAsia" w:ascii="宋体" w:hAnsi="宋体" w:cs="宋体"/>
                <w:color w:val="auto"/>
                <w:sz w:val="24"/>
                <w:szCs w:val="24"/>
                <w:highlight w:val="none"/>
                <w:lang w:val="en-US" w:eastAsia="zh-CN"/>
              </w:rPr>
              <w:t xml:space="preserve">效</w:t>
            </w:r>
            <w:r>
              <w:rPr>
                <w:rFonts w:hint="eastAsia" w:ascii="宋体" w:hAnsi="宋体" w:eastAsia="宋体" w:cs="宋体"/>
                <w:color w:val="auto"/>
                <w:sz w:val="24"/>
                <w:szCs w:val="24"/>
                <w:highlight w:val="none"/>
              </w:rPr>
              <w:t xml:space="preserve">周期内，保证更换到原厂配件。在售后服务期内，乙方应对货物出现的质量及安全问题负责处理解决并承担一切费用。</w:t>
            </w:r>
            <w:r/>
          </w:p>
          <w:p>
            <w:pPr>
              <w:ind w:left="0" w:right="0" w:firstLine="420"/>
              <w:jc w:val="left"/>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备注：签订合同时根据乙方投标文件响应内容调整。</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第15.2（2）项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乙方不按期完成合同约定的内容，应向甲方支付违约金，除甲方或不可抗力造成原因外，每延迟交付一天，按合同总价款的</w:t>
            </w:r>
            <w:r>
              <w:rPr>
                <w:rFonts w:hint="eastAsia" w:ascii="宋体" w:hAnsi="宋体" w:eastAsia="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分之一支付违约金，违约金可直接从待付货款中扣除；延期超过10 日，甲方有权强制解除合同。</w:t>
            </w:r>
            <w:r/>
          </w:p>
        </w:tc>
      </w:tr>
      <w:tr>
        <w:trPr>
          <w:trHeight w:val="129"/>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第15.3款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甲方无故逾期验收和办理货款支付手续的，甲方应按逾期付款总额每日</w:t>
            </w:r>
            <w:r>
              <w:rPr>
                <w:rFonts w:hint="eastAsia" w:ascii="宋体" w:hAnsi="宋体" w:eastAsia="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分之一向乙方支付违约金。</w:t>
            </w:r>
            <w:r/>
          </w:p>
        </w:tc>
      </w:tr>
      <w:tr>
        <w:trPr>
          <w:trHeight w:val="876"/>
        </w:trPr>
        <w:tc>
          <w:tcPr>
            <w:tcBorders>
              <w:bottom w:val="single" w:color="auto" w:sz="2" w:space="0"/>
              <w:right w:val="single" w:color="auto" w:sz="2" w:space="0"/>
            </w:tcBorders>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第15.4款</w:t>
            </w:r>
            <w:r/>
          </w:p>
        </w:tc>
        <w:tc>
          <w:tcPr>
            <w:tcBorders>
              <w:left w:val="single" w:color="auto" w:sz="2" w:space="0"/>
              <w:bottom w:val="single" w:color="auto" w:sz="2" w:space="0"/>
              <w:right w:val="single" w:color="auto" w:sz="2" w:space="0"/>
            </w:tcBorders>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auto" w:sz="2" w:space="0"/>
              <w:bottom w:val="single" w:color="auto" w:sz="2" w:space="0"/>
            </w:tcBorders>
            <w:tcW w:w="5225" w:type="dxa"/>
            <w:vAlign w:val="center"/>
            <w:textDirection w:val="lrTb"/>
            <w:noWrap w:val="false"/>
          </w:tcPr>
          <w:p>
            <w:pPr>
              <w:ind w:left="0" w:right="0" w:firstLine="42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本项目售后服务期内，乙方不能提供原厂免费全保的，按合同总价款的20%支付违约金。</w:t>
            </w:r>
            <w:r/>
          </w:p>
          <w:p>
            <w:pPr>
              <w:ind w:left="0" w:right="0" w:firstLine="422"/>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备注：签订合同时根据乙方投标文件响应内容调整。</w:t>
            </w:r>
            <w:r/>
          </w:p>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第19.2款</w:t>
            </w:r>
            <w:r/>
          </w:p>
        </w:tc>
        <w:tc>
          <w:tcPr>
            <w:tcBorders>
              <w:top w:val="single" w:color="auto" w:sz="2" w:space="0"/>
              <w:left w:val="single" w:color="auto" w:sz="2" w:space="0"/>
              <w:right w:val="single" w:color="auto" w:sz="2" w:space="0"/>
            </w:tcBorders>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解决争议的方法</w:t>
            </w:r>
            <w:r/>
          </w:p>
        </w:tc>
        <w:tc>
          <w:tcPr>
            <w:tcBorders>
              <w:top w:val="single" w:color="auto" w:sz="2" w:space="0"/>
              <w:left w:val="single" w:color="auto" w:sz="2" w:space="0"/>
            </w:tcBorders>
            <w:tcW w:w="5225" w:type="dxa"/>
            <w:vAlign w:val="center"/>
            <w:textDirection w:val="lrTb"/>
            <w:noWrap w:val="false"/>
          </w:tcPr>
          <w:p>
            <w:pPr>
              <w:ind w:left="0" w:right="0" w:firstLine="480"/>
              <w:jc w:val="left"/>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因本合同及合同有关事项发生的争议，按下列第</w:t>
            </w:r>
            <w:r>
              <w:rPr>
                <w:rFonts w:hint="eastAsia" w:ascii="宋体" w:hAnsi="宋体" w:eastAsia="宋体" w:cs="宋体"/>
                <w:iCs/>
                <w:color w:val="auto"/>
                <w:sz w:val="24"/>
                <w:szCs w:val="24"/>
                <w:highlight w:val="none"/>
                <w:u w:val="single"/>
              </w:rPr>
              <w:t xml:space="preserve">（2）</w:t>
            </w:r>
            <w:r>
              <w:rPr>
                <w:rFonts w:hint="eastAsia" w:ascii="宋体" w:hAnsi="宋体" w:eastAsia="宋体" w:cs="宋体"/>
                <w:iCs/>
                <w:color w:val="auto"/>
                <w:sz w:val="24"/>
                <w:szCs w:val="24"/>
                <w:highlight w:val="none"/>
              </w:rPr>
              <w:t xml:space="preserve">种方式解决：</w:t>
            </w:r>
            <w:r/>
          </w:p>
          <w:p>
            <w:pPr>
              <w:ind w:left="0" w:right="0"/>
              <w:jc w:val="left"/>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（1）向</w:t>
            </w:r>
            <w:r>
              <w:rPr>
                <w:rFonts w:hint="eastAsia" w:ascii="宋体" w:hAnsi="宋体" w:eastAsia="宋体" w:cs="宋体"/>
                <w:iCs/>
                <w:color w:val="auto"/>
                <w:sz w:val="24"/>
                <w:szCs w:val="24"/>
                <w:highlight w:val="none"/>
                <w:u w:val="single"/>
              </w:rPr>
              <w:t xml:space="preserve"> / </w:t>
            </w:r>
            <w:r>
              <w:rPr>
                <w:rFonts w:hint="eastAsia" w:ascii="宋体" w:hAnsi="宋体" w:eastAsia="宋体" w:cs="宋体"/>
                <w:iCs/>
                <w:color w:val="auto"/>
                <w:sz w:val="24"/>
                <w:szCs w:val="24"/>
                <w:highlight w:val="none"/>
              </w:rPr>
              <w:t xml:space="preserve">仲裁委员会申请仲裁，仲裁地点为</w:t>
            </w:r>
            <w:r>
              <w:rPr>
                <w:rFonts w:hint="eastAsia" w:ascii="宋体" w:hAnsi="宋体" w:eastAsia="宋体" w:cs="宋体"/>
                <w:iCs/>
                <w:color w:val="auto"/>
                <w:sz w:val="24"/>
                <w:szCs w:val="24"/>
                <w:highlight w:val="none"/>
                <w:u w:val="single"/>
              </w:rPr>
              <w:t xml:space="preserve"> / </w:t>
            </w:r>
            <w:r>
              <w:rPr>
                <w:rFonts w:hint="eastAsia" w:ascii="宋体" w:hAnsi="宋体" w:eastAsia="宋体" w:cs="宋体"/>
                <w:iCs/>
                <w:color w:val="auto"/>
                <w:sz w:val="24"/>
                <w:szCs w:val="24"/>
                <w:highlight w:val="none"/>
              </w:rPr>
              <w:t xml:space="preserve">；</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（2）向 </w:t>
            </w:r>
            <w:r>
              <w:rPr>
                <w:rFonts w:hint="eastAsia" w:ascii="宋体" w:hAnsi="宋体" w:eastAsia="宋体" w:cs="宋体"/>
                <w:iCs/>
                <w:color w:val="auto"/>
                <w:sz w:val="24"/>
                <w:szCs w:val="24"/>
                <w:highlight w:val="none"/>
                <w:u w:val="single"/>
              </w:rPr>
              <w:t xml:space="preserve">泗洪县 </w:t>
            </w:r>
            <w:r>
              <w:rPr>
                <w:rFonts w:hint="eastAsia" w:ascii="宋体" w:hAnsi="宋体" w:eastAsia="宋体" w:cs="宋体"/>
                <w:iCs/>
                <w:color w:val="auto"/>
                <w:sz w:val="24"/>
                <w:szCs w:val="24"/>
                <w:highlight w:val="none"/>
              </w:rPr>
              <w:t xml:space="preserve">人民法院起诉。</w:t>
            </w:r>
            <w:r/>
          </w:p>
        </w:tc>
      </w:tr>
      <w:tr>
        <w:trPr>
          <w:trHeight w:val="770"/>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第23.1款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其他专用条款</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tc>
      </w:tr>
    </w:tbl>
    <w:p>
      <w:pPr>
        <w:pStyle w:val="86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33" w:name="_Toc20257"/>
      <w:r/>
      <w:bookmarkStart w:id="134" w:name="_Toc176774462"/>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861"/>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第六部分  投标文件格式</w:t>
      </w:r>
      <w:bookmarkEnd w:id="133"/>
      <w:r/>
      <w:bookmarkEnd w:id="134"/>
      <w:r/>
      <w:r/>
    </w:p>
    <w:p>
      <w:pPr>
        <w:pStyle w:val="86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投  标  文  件</w:t>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firstLine="1084"/>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 目 名 称：</w:t>
      </w:r>
      <w:r>
        <w:rPr>
          <w:rFonts w:hint="eastAsia" w:ascii="宋体" w:hAnsi="宋体" w:eastAsia="宋体" w:cs="宋体"/>
          <w:b/>
          <w:bCs/>
          <w:color w:val="auto"/>
          <w:sz w:val="24"/>
          <w:szCs w:val="24"/>
          <w:highlight w:val="none"/>
          <w:u w:val="single"/>
        </w:rPr>
        <w:t xml:space="preserve">               </w:t>
      </w:r>
      <w:r/>
    </w:p>
    <w:p>
      <w:pPr>
        <w:pStyle w:val="861"/>
        <w:ind w:left="0" w:right="0" w:firstLine="1084"/>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 目 编 号：</w:t>
      </w:r>
      <w:r>
        <w:rPr>
          <w:rFonts w:hint="eastAsia" w:ascii="宋体" w:hAnsi="宋体" w:eastAsia="宋体" w:cs="宋体"/>
          <w:b/>
          <w:bCs/>
          <w:color w:val="auto"/>
          <w:sz w:val="24"/>
          <w:szCs w:val="24"/>
          <w:highlight w:val="none"/>
          <w:u w:val="single"/>
        </w:rPr>
        <w:t xml:space="preserve">               </w:t>
      </w:r>
      <w:r/>
    </w:p>
    <w:p>
      <w:pPr>
        <w:pStyle w:val="86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投标人名称 ：</w:t>
      </w:r>
      <w:r>
        <w:rPr>
          <w:rFonts w:hint="eastAsia" w:ascii="宋体" w:hAnsi="宋体" w:eastAsia="宋体" w:cs="宋体"/>
          <w:b/>
          <w:bCs/>
          <w:color w:val="auto"/>
          <w:sz w:val="24"/>
          <w:szCs w:val="24"/>
          <w:highlight w:val="none"/>
          <w:u w:val="single"/>
        </w:rPr>
        <w:t xml:space="preserve">（盖CA电子公章）</w:t>
      </w:r>
      <w:r/>
    </w:p>
    <w:p>
      <w:pPr>
        <w:pStyle w:val="86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日      期 ：</w:t>
      </w:r>
      <w:r>
        <w:rPr>
          <w:rFonts w:hint="eastAsia" w:ascii="宋体" w:hAnsi="宋体" w:eastAsia="宋体" w:cs="宋体"/>
          <w:b/>
          <w:bCs/>
          <w:color w:val="auto"/>
          <w:sz w:val="24"/>
          <w:szCs w:val="24"/>
          <w:highlight w:val="none"/>
          <w:u w:val="singl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1"/>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rPr>
      </w:r>
      <w:r/>
    </w:p>
    <w:p>
      <w:pPr>
        <w:pStyle w:val="861"/>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投标文件目录</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一、投标人响应承诺函</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二、投标人基本情况</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三、满足特定资格要求的证明文件（如果设置特定资格要求，则需要提供）</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四、法人授权书</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五、投标函</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六、开标一览表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七、投标报价明细表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八、中小企业声明函</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残疾人福利性单位声明函</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、响应及偏离表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十、项目组成员</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、企业业绩</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、投标所需其他材料</w:t>
      </w:r>
      <w:r/>
    </w:p>
    <w:p>
      <w:pPr>
        <w:pStyle w:val="890"/>
        <w:ind w:left="0" w:right="0"/>
        <w:spacing w:before="0" w:beforeAutospacing="0" w:after="0" w:afterAutospacing="0" w:line="44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left="0" w:right="0"/>
        <w:spacing w:beforeAutospacing="0" w:afterAutospacing="0" w:line="440" w:lineRule="exact"/>
        <w:rPr>
          <w:rFonts w:hint="eastAsia" w:ascii="宋体" w:hAnsi="宋体" w:eastAsia="宋体" w:cs="宋体"/>
          <w:color w:val="auto"/>
          <w:sz w:val="24"/>
          <w:szCs w:val="24"/>
          <w:highlight w:val="none"/>
        </w:rPr>
      </w:pPr>
      <w:r/>
      <w:bookmarkStart w:id="135" w:name="_Toc23838"/>
      <w:r/>
      <w:bookmarkEnd w:id="135"/>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2"/>
        <w:ind w:left="0" w:right="0"/>
        <w:spacing w:beforeAutospacing="0" w:afterAutospacing="0" w:line="440" w:lineRule="exact"/>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36" w:name="_Toc120614284"/>
      <w:r/>
      <w:r/>
    </w:p>
    <w:p>
      <w:pPr>
        <w:pStyle w:val="892"/>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一、投标声明及承诺函</w:t>
      </w:r>
      <w:r/>
    </w:p>
    <w:p>
      <w:pPr>
        <w:pStyle w:val="892"/>
        <w:ind w:left="0" w:right="0"/>
        <w:jc w:val="left"/>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项目的招标文件，我方在参加本项目招投标活动中，特做出如下承诺：</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一、我方具备《中华人民共和国政府采购法》第二十二条第一款规定的6项条件；</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2"/>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892"/>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二、投标人基本情况</w:t>
      </w:r>
      <w:r/>
    </w:p>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投标人基本情况表</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46"/>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875"/>
              <w:ind w:left="0" w:right="0" w:firstLine="1432"/>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875"/>
              <w:ind w:left="0" w:right="0"/>
              <w:jc w:val="both"/>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b/>
          <w:color w:val="auto"/>
          <w:sz w:val="24"/>
          <w:szCs w:val="24"/>
          <w:highlight w:val="none"/>
        </w:rPr>
        <w:t xml:space="preserve">三、特定资格要求的证明文件</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ind w:left="0" w:right="0" w:firstLine="42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分包意向承诺书格式自拟。</w:t>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四、法人授权书</w:t>
      </w:r>
      <w:r/>
    </w:p>
    <w:p>
      <w:pPr>
        <w:pStyle w:val="895"/>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895"/>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895"/>
        <w:ind w:left="0" w:right="0" w:firstLine="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895"/>
        <w:ind w:left="0" w:right="0" w:firstLine="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895"/>
        <w:ind w:left="0" w:right="0" w:firstLine="120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895"/>
        <w:ind w:left="0" w:right="0" w:firstLine="48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895"/>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37" w:name="_Hlt26671380"/>
      <w:r/>
      <w:bookmarkEnd w:id="137"/>
      <w:r/>
      <w:bookmarkStart w:id="138" w:name="_格式3__银行出具的资信证明"/>
      <w:r/>
      <w:bookmarkEnd w:id="138"/>
      <w:r/>
      <w:bookmarkStart w:id="139" w:name="_Hlt26955070"/>
      <w:r/>
      <w:bookmarkEnd w:id="139"/>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i/>
          <w:color w:val="auto"/>
          <w:sz w:val="24"/>
          <w:szCs w:val="24"/>
          <w:highlight w:val="none"/>
          <w:u w:val="single"/>
        </w:rPr>
        <w:t xml:space="preserve">五、开标一览表</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                                 </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r/>
          </w:p>
        </w:tc>
      </w:tr>
      <w:tr>
        <w:trPr>
          <w:cantSplit/>
          <w:jc w:val="center"/>
          <w:trHeight w:val="612"/>
        </w:trPr>
        <w:tc>
          <w:tcPr>
            <w:tcW w:w="8206" w:type="dxa"/>
            <w:vAlign w:val="center"/>
            <w:textDirection w:val="lrTb"/>
            <w:noWrap w:val="false"/>
          </w:tcPr>
          <w:p>
            <w:pPr>
              <w:pStyle w:val="896"/>
              <w:ind w:left="0" w:right="0" w:firstLine="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（人民币：元）</w:t>
            </w:r>
            <w:r/>
          </w:p>
        </w:tc>
      </w:tr>
    </w:tbl>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96"/>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both"/>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12"/>
        </w:num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投标报价明细表</w:t>
      </w:r>
      <w:r/>
    </w:p>
    <w:p>
      <w:pPr>
        <w:numPr>
          <w:ilvl w:val="0"/>
          <w:numId w:val="0"/>
        </w:numPr>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分项报价表</w:t>
      </w:r>
      <w:r/>
    </w:p>
    <w:p>
      <w:pPr>
        <w:numPr>
          <w:ilvl w:val="0"/>
          <w:numId w:val="0"/>
        </w:numPr>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（货物类）</w:t>
      </w:r>
      <w:r/>
    </w:p>
    <w:p>
      <w:pPr>
        <w:numPr>
          <w:ilvl w:val="0"/>
          <w:numId w:val="0"/>
        </w:num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677"/>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294"/>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序号</w:t>
            </w:r>
            <w:r/>
          </w:p>
        </w:tc>
        <w:tc>
          <w:tcPr>
            <w:tcW w:w="103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96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414"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784"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8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727"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72"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tc>
        <w:tc>
          <w:tcPr>
            <w:tcW w:w="124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分项总价</w:t>
            </w:r>
            <w:r/>
          </w:p>
        </w:tc>
      </w:tr>
      <w:tr>
        <w:trPr>
          <w:cantSplit/>
          <w:trHeight w:val="696"/>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8"/>
            <w:tcW w:w="7835"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246" w:type="dxa"/>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97"/>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备注：1.投标报价采用总承包方式，“投标总报价”应包括所投货物(包含与货物相关的服务)费用、安装调试费、测试验收费、培训费、运行维护费用、税金、运输保险费、办理全套免税手续费用(如果有)及其他有关的为完成本项目发生的所有费用，招标文件中另有规定的除外。</w:t>
      </w:r>
      <w:r/>
    </w:p>
    <w:p>
      <w:pPr>
        <w:pStyle w:val="897"/>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2.“投标分项报价表”中“投标总报价”数额应当与“开标一览表”中“投标总报价”数额一致。</w:t>
      </w:r>
      <w:r/>
    </w:p>
    <w:p>
      <w:pPr>
        <w:pStyle w:val="897"/>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投标人需认真填写本报价表，尤其注意品牌型号的准确填写。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rPr>
          <w:rFonts w:hint="eastAsia" w:ascii="宋体" w:hAnsi="宋体" w:eastAsia="宋体" w:cs="宋体"/>
          <w:b w:val="0"/>
          <w:bCs w:val="0"/>
          <w:strike/>
          <w:color w:val="auto"/>
          <w:sz w:val="24"/>
          <w:szCs w:val="24"/>
          <w:highlight w:val="none"/>
        </w:rPr>
        <w:br w:type="page" w:clear="all"/>
      </w:r>
      <w:r>
        <w:rPr>
          <w:rFonts w:hint="eastAsia" w:ascii="宋体" w:hAnsi="宋体" w:eastAsia="宋体" w:cs="宋体"/>
          <w:b/>
          <w:bCs/>
          <w:color w:val="auto"/>
          <w:sz w:val="24"/>
          <w:szCs w:val="24"/>
          <w:highlight w:val="none"/>
        </w:rPr>
        <w:t xml:space="preserve">七、中小企业或残疾人福利性单位声明函</w:t>
      </w:r>
      <w:r/>
    </w:p>
    <w:p>
      <w:pPr>
        <w:pStyle w:val="898"/>
        <w:ind w:left="0" w:right="0"/>
        <w:jc w:val="center"/>
        <w:spacing w:beforeAutospacing="0" w:afterAutospacing="0" w:line="440" w:lineRule="exact"/>
        <w:rPr>
          <w:rStyle w:val="853"/>
          <w:rFonts w:hint="eastAsia" w:ascii="宋体" w:hAnsi="宋体" w:eastAsia="宋体" w:cs="宋体"/>
          <w:b/>
          <w:color w:val="auto"/>
          <w:sz w:val="24"/>
          <w:szCs w:val="24"/>
          <w:highlight w:val="none"/>
        </w:rPr>
      </w:pPr>
      <w:r>
        <w:rPr>
          <w:rStyle w:val="853"/>
          <w:rFonts w:hint="eastAsia" w:ascii="宋体" w:hAnsi="宋体" w:eastAsia="宋体" w:cs="宋体"/>
          <w:b/>
          <w:color w:val="auto"/>
          <w:sz w:val="24"/>
          <w:szCs w:val="24"/>
          <w:highlight w:val="none"/>
        </w:rPr>
        <w:t xml:space="preserve">中小微企业声明函</w:t>
      </w:r>
      <w:r/>
    </w:p>
    <w:p>
      <w:pPr>
        <w:pStyle w:val="898"/>
        <w:ind w:left="0" w:right="0"/>
        <w:jc w:val="center"/>
        <w:spacing w:beforeAutospacing="0" w:afterAutospacing="0" w:line="440" w:lineRule="exact"/>
        <w:rPr>
          <w:rStyle w:val="853"/>
          <w:rFonts w:hint="eastAsia" w:ascii="宋体" w:hAnsi="宋体" w:eastAsia="宋体" w:cs="宋体"/>
          <w:b/>
          <w:color w:val="auto"/>
          <w:sz w:val="24"/>
          <w:szCs w:val="24"/>
          <w:highlight w:val="none"/>
        </w:rPr>
      </w:pPr>
      <w:r>
        <w:rPr>
          <w:rStyle w:val="853"/>
          <w:rFonts w:hint="eastAsia" w:ascii="宋体" w:hAnsi="宋体" w:eastAsia="宋体" w:cs="宋体"/>
          <w:b/>
          <w:color w:val="auto"/>
          <w:sz w:val="24"/>
          <w:szCs w:val="24"/>
          <w:highlight w:val="none"/>
        </w:rPr>
        <w:t xml:space="preserve">（货物类项目）</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480"/>
        <w:jc w:val="right"/>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480"/>
        <w:jc w:val="right"/>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企业名称（加盖CA电子公章）：</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left="0" w:right="0" w:firstLine="48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2.供应商自行勾选企业类型。</w:t>
      </w:r>
      <w:r/>
    </w:p>
    <w:p>
      <w:pPr>
        <w:ind w:left="0" w:right="0" w:firstLine="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482"/>
        <w:jc w:val="left"/>
        <w:keepLines w:val="0"/>
        <w:keepNext w:val="0"/>
        <w:pageBreakBefore w:val="0"/>
        <w:spacing w:beforeAutospacing="0" w:afterAutospacing="0" w:line="420" w:lineRule="exact"/>
        <w:widowControl w:val="off"/>
        <w:rPr>
          <w:rFonts w:hint="eastAsia" w:ascii="宋体" w:hAnsi="宋体" w:eastAsia="宋体" w:cs="宋体"/>
          <w:iCs/>
          <w:color w:val="auto"/>
          <w:sz w:val="24"/>
          <w:szCs w:val="24"/>
          <w:highlight w:val="none"/>
        </w:rPr>
      </w:pPr>
      <w:r>
        <w:rPr>
          <w:rFonts w:hint="eastAsia" w:ascii="宋体" w:hAnsi="宋体" w:eastAsia="宋体" w:cs="宋体"/>
          <w:b/>
          <w:color w:val="auto"/>
          <w:sz w:val="24"/>
          <w:szCs w:val="24"/>
          <w:highlight w:val="none"/>
        </w:rPr>
        <w:br w:type="page" w:clear="all"/>
      </w:r>
      <w:r/>
    </w:p>
    <w:p>
      <w:pPr>
        <w:pStyle w:val="899"/>
        <w:ind w:left="0" w:right="0"/>
        <w:jc w:val="center"/>
        <w:spacing w:beforeAutospacing="0" w:afterAutospacing="0" w:line="440" w:lineRule="exact"/>
        <w:rPr>
          <w:rStyle w:val="853"/>
          <w:rFonts w:hint="eastAsia" w:ascii="宋体" w:hAnsi="宋体" w:eastAsia="宋体" w:cs="宋体"/>
          <w:b/>
          <w:bCs/>
          <w:color w:val="auto"/>
          <w:sz w:val="24"/>
          <w:szCs w:val="24"/>
          <w:highlight w:val="none"/>
        </w:rPr>
      </w:pPr>
      <w:r>
        <w:rPr>
          <w:rStyle w:val="853"/>
          <w:rFonts w:hint="eastAsia" w:ascii="宋体" w:hAnsi="宋体" w:eastAsia="宋体" w:cs="宋体"/>
          <w:b/>
          <w:bCs/>
          <w:color w:val="auto"/>
          <w:sz w:val="24"/>
          <w:szCs w:val="24"/>
          <w:highlight w:val="none"/>
        </w:rPr>
        <w:t xml:space="preserve">残疾人福利性单位声明函</w:t>
      </w:r>
      <w:r/>
    </w:p>
    <w:p>
      <w:pPr>
        <w:pStyle w:val="900"/>
        <w:ind w:left="0" w:right="0"/>
        <w:spacing w:beforeAutospacing="0" w:afterAutospacing="0" w:line="440" w:lineRule="exact"/>
        <w:rPr>
          <w:rStyle w:val="853"/>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（备注：非残疾人福利性单位不需提供此函。）</w:t>
      </w:r>
      <w:r/>
    </w:p>
    <w:p>
      <w:pPr>
        <w:ind w:left="0" w:right="0" w:firstLine="624"/>
        <w:spacing w:beforeAutospacing="0" w:afterAutospacing="0" w:line="44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90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360"/>
        <w:jc w:val="righ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left="0" w:right="0"/>
        <w:jc w:val="righ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jc w:val="left"/>
        <w:spacing w:line="440" w:lineRule="exact"/>
        <w:rPr>
          <w:rFonts w:ascii="宋体" w:hAnsi="宋体" w:cs="宋体"/>
          <w:b/>
          <w:color w:val="auto"/>
          <w:sz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八、</w:t>
      </w:r>
      <w:r>
        <w:rPr>
          <w:rFonts w:hint="eastAsia" w:ascii="宋体" w:hAnsi="宋体" w:cs="宋体"/>
          <w:b/>
          <w:color w:val="auto"/>
          <w:sz w:val="24"/>
          <w:highlight w:val="none"/>
        </w:rPr>
        <w:t xml:space="preserve">响应及偏离表</w:t>
      </w:r>
      <w:r/>
    </w:p>
    <w:p>
      <w:pPr>
        <w:ind w:firstLine="1446"/>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实质性要求响应及偏离表（分包号：）</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3411"/>
        <w:gridCol w:w="3136"/>
        <w:gridCol w:w="144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技术要求和商务要求中的实质性要求</w:t>
            </w:r>
            <w:r>
              <w:rPr>
                <w:rFonts w:ascii="宋体" w:hAnsi="宋体" w:cs="宋体"/>
                <w:i/>
                <w:color w:val="auto"/>
                <w:sz w:val="24"/>
                <w:highlight w:val="none"/>
                <w:u w:val="single"/>
              </w:rPr>
              <w:t xml:space="preserve">（</w:t>
            </w:r>
            <w:r>
              <w:rPr>
                <w:rFonts w:ascii="宋体" w:hAnsi="宋体" w:cs="宋体"/>
                <w:color w:val="auto"/>
                <w:sz w:val="24"/>
                <w:highlight w:val="none"/>
                <w:u w:val="single"/>
              </w:rPr>
              <w:t xml:space="preserve">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1.投标人必须对技术要求和商务要求中的实质性要求</w:t>
      </w:r>
      <w:r>
        <w:rPr>
          <w:rFonts w:ascii="宋体" w:hAnsi="宋体" w:cs="宋体"/>
          <w:i/>
          <w:color w:val="auto"/>
          <w:sz w:val="24"/>
          <w:highlight w:val="none"/>
          <w:u w:val="single"/>
        </w:rPr>
        <w:t xml:space="preserve">（</w:t>
      </w:r>
      <w:r>
        <w:rPr>
          <w:rFonts w:ascii="宋体" w:hAnsi="宋体" w:cs="宋体"/>
          <w:color w:val="auto"/>
          <w:sz w:val="24"/>
          <w:highlight w:val="none"/>
          <w:u w:val="single"/>
        </w:rPr>
        <w:t xml:space="preserve">打“★”内容）</w:t>
      </w:r>
      <w:r>
        <w:rPr>
          <w:rFonts w:ascii="宋体" w:hAnsi="宋体" w:cs="宋体"/>
          <w:color w:val="auto"/>
          <w:sz w:val="24"/>
          <w:highlight w:val="none"/>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3.投标人未对实质性要求逐条作出明确响应的，或未按招标文件要求提供证明材料的，该</w:t>
      </w:r>
      <w:r>
        <w:rPr>
          <w:rFonts w:hint="eastAsia" w:ascii="宋体" w:hAnsi="宋体" w:cs="宋体"/>
          <w:color w:val="auto"/>
          <w:sz w:val="24"/>
          <w:highlight w:val="none"/>
        </w:rPr>
        <w:t xml:space="preserve">采购包</w:t>
      </w:r>
      <w:r>
        <w:rPr>
          <w:rFonts w:ascii="宋体" w:hAnsi="宋体" w:cs="宋体"/>
          <w:color w:val="auto"/>
          <w:sz w:val="24"/>
          <w:highlight w:val="none"/>
        </w:rPr>
        <w:t xml:space="preserve">作无效标处理。</w:t>
      </w:r>
      <w:r/>
    </w:p>
    <w:p>
      <w:pPr>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技术要求响应及偏离表（分包号：）</w:t>
      </w:r>
      <w:r/>
    </w:p>
    <w:tbl>
      <w:tblPr>
        <w:tblStyle w:val="67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技术要求</w:t>
            </w:r>
            <w:r/>
          </w:p>
        </w:tc>
        <w:tc>
          <w:tcPr>
            <w:tcW w:w="3191"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2128"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3063"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191"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12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063"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3191"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12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附件  证明材料1，证明材料2，……</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1.投标人需对技术要求（</w:t>
      </w:r>
      <w:r>
        <w:rPr>
          <w:rFonts w:hint="eastAsia" w:ascii="宋体" w:hAnsi="宋体" w:cs="宋体"/>
          <w:iCs/>
          <w:color w:val="auto"/>
          <w:sz w:val="24"/>
          <w:highlight w:val="none"/>
          <w:u w:val="single"/>
        </w:rPr>
        <w:t xml:space="preserve">未打“★”内容</w:t>
      </w:r>
      <w:r>
        <w:rPr>
          <w:rFonts w:hint="eastAsia" w:ascii="宋体" w:hAnsi="宋体" w:cs="宋体"/>
          <w:color w:val="auto"/>
          <w:sz w:val="24"/>
          <w:highlight w:val="none"/>
        </w:rPr>
        <w:t xml:space="preserve">）逐条做出明确响应。</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2.如果招标文件要求提供证明材料，投标人需将证明材料列于该表之下。</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902"/>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商务要求响应及偏离表（分包号：    ）</w:t>
      </w:r>
      <w:r/>
    </w:p>
    <w:tbl>
      <w:tblPr>
        <w:tblStyle w:val="677"/>
        <w:tblW w:w="84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商务要求</w:t>
            </w:r>
            <w:r/>
          </w:p>
        </w:tc>
        <w:tc>
          <w:tcPr>
            <w:tcW w:w="2508"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2324"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3063"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50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324"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063"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250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324"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附件  证明材料1，证明材料2，……</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1.投标人需对商务要求（</w:t>
      </w:r>
      <w:r>
        <w:rPr>
          <w:rFonts w:hint="eastAsia" w:ascii="宋体" w:hAnsi="宋体" w:cs="宋体"/>
          <w:iCs/>
          <w:color w:val="auto"/>
          <w:sz w:val="24"/>
          <w:highlight w:val="none"/>
          <w:u w:val="single"/>
        </w:rPr>
        <w:t xml:space="preserve">未打“★”内容</w:t>
      </w:r>
      <w:r>
        <w:rPr>
          <w:rFonts w:hint="eastAsia" w:ascii="宋体" w:hAnsi="宋体" w:cs="宋体"/>
          <w:color w:val="auto"/>
          <w:sz w:val="24"/>
          <w:highlight w:val="none"/>
        </w:rPr>
        <w:t xml:space="preserve">）逐条做出明确响应。</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2.如果招标文件要求提供证明材料，投标人需将证明材料列于该表之下。</w:t>
      </w:r>
      <w:r/>
    </w:p>
    <w:p>
      <w:pPr>
        <w:pStyle w:val="887"/>
        <w:rPr>
          <w:rFonts w:ascii="宋体" w:hAnsi="宋体" w:eastAsia="宋体" w:cs="宋体"/>
          <w:color w:val="auto"/>
          <w:highlight w:val="none"/>
        </w:rPr>
      </w:pPr>
      <w:r>
        <w:rPr>
          <w:rFonts w:ascii="宋体" w:hAnsi="宋体" w:eastAsia="宋体" w:cs="宋体"/>
          <w:color w:val="auto"/>
          <w:highlight w:val="none"/>
        </w:rPr>
      </w:r>
      <w:r/>
    </w:p>
    <w:p>
      <w:pPr>
        <w:pStyle w:val="902"/>
        <w:ind w:left="0" w:right="0"/>
        <w:spacing w:beforeAutospacing="0" w:afterAutospacing="0" w:line="440" w:lineRule="exact"/>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color w:val="auto"/>
          <w:sz w:val="24"/>
          <w:szCs w:val="24"/>
          <w:highlight w:val="none"/>
        </w:rPr>
      </w:r>
      <w:r/>
    </w:p>
    <w:p>
      <w:pPr>
        <w:pStyle w:val="902"/>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九、项目组人员</w:t>
      </w:r>
      <w:r/>
    </w:p>
    <w:p>
      <w:pPr>
        <w:pStyle w:val="86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项目组成员</w:t>
      </w:r>
      <w:r/>
    </w:p>
    <w:tbl>
      <w:tblPr>
        <w:tblStyle w:val="67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0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843" w:type="dxa"/>
            <w:vAlign w:val="center"/>
            <w:textDirection w:val="lrTb"/>
            <w:noWrap w:val="false"/>
          </w:tcPr>
          <w:p>
            <w:pPr>
              <w:pStyle w:val="90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992" w:type="dxa"/>
            <w:vAlign w:val="center"/>
            <w:textDirection w:val="lrTb"/>
            <w:noWrap w:val="false"/>
          </w:tcPr>
          <w:p>
            <w:pPr>
              <w:pStyle w:val="90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984" w:type="dxa"/>
            <w:vAlign w:val="center"/>
            <w:textDirection w:val="lrTb"/>
            <w:noWrap w:val="false"/>
          </w:tcPr>
          <w:p>
            <w:pPr>
              <w:pStyle w:val="903"/>
              <w:ind w:left="0" w:right="0" w:firstLine="2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tc>
        <w:tc>
          <w:tcPr>
            <w:tcW w:w="1702" w:type="dxa"/>
            <w:vAlign w:val="center"/>
            <w:textDirection w:val="lrTb"/>
            <w:noWrap w:val="false"/>
          </w:tcPr>
          <w:p>
            <w:pPr>
              <w:pStyle w:val="90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相关证书</w:t>
            </w:r>
            <w:r/>
          </w:p>
        </w:tc>
        <w:tc>
          <w:tcPr>
            <w:tcW w:w="962" w:type="dxa"/>
            <w:vAlign w:val="center"/>
            <w:textDirection w:val="lrTb"/>
            <w:noWrap w:val="false"/>
          </w:tcPr>
          <w:p>
            <w:pPr>
              <w:pStyle w:val="903"/>
              <w:ind w:left="0" w:right="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项目经理</w:t>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61"/>
              <w:ind w:left="0" w:right="0" w:firstLine="2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61"/>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61"/>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61"/>
        <w:ind w:left="0" w:right="0" w:firstLine="398"/>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注：如供应商中标，项目组成员必须按本表承诺人员操作，不得随意更换。按招标文件要求附相关人员证书。</w:t>
      </w:r>
      <w:r/>
    </w:p>
    <w:p>
      <w:pPr>
        <w:pStyle w:val="861"/>
        <w:ind w:left="0" w:right="0" w:firstLine="2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4"/>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40" w:name="_Toc11176"/>
      <w:r>
        <w:rPr>
          <w:rFonts w:hint="eastAsia" w:ascii="宋体" w:hAnsi="宋体" w:eastAsia="宋体" w:cs="宋体"/>
          <w:b/>
          <w:color w:val="auto"/>
          <w:sz w:val="24"/>
          <w:szCs w:val="24"/>
          <w:highlight w:val="none"/>
        </w:rPr>
        <w:t xml:space="preserve">十、</w:t>
      </w:r>
      <w:bookmarkEnd w:id="140"/>
      <w:r>
        <w:rPr>
          <w:rFonts w:hint="eastAsia" w:ascii="宋体" w:hAnsi="宋体" w:eastAsia="宋体" w:cs="宋体"/>
          <w:b/>
          <w:color w:val="auto"/>
          <w:sz w:val="24"/>
          <w:szCs w:val="24"/>
          <w:highlight w:val="none"/>
        </w:rPr>
        <w:t xml:space="preserve">企业业绩</w:t>
      </w:r>
      <w:r/>
    </w:p>
    <w:p>
      <w:pPr>
        <w:pStyle w:val="905"/>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投标人承担类似项目业绩一览表</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27"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433"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95"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tc>
      </w:tr>
      <w:tr>
        <w:trPr>
          <w:jc w:val="center"/>
          <w:trHeight w:val="1510"/>
        </w:trPr>
        <w:tc>
          <w:tcPr>
            <w:tcW w:w="1229" w:type="dxa"/>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10"/>
        </w:trPr>
        <w:tc>
          <w:tcPr>
            <w:tcW w:w="1229" w:type="dxa"/>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10"/>
        </w:trPr>
        <w:tc>
          <w:tcPr>
            <w:tcW w:w="1229" w:type="dxa"/>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25"/>
        </w:trPr>
        <w:tc>
          <w:tcPr>
            <w:tcW w:w="1229" w:type="dxa"/>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05"/>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注：请填写此表，并按要求上传业绩资料电子件。</w:t>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br w:type="page" w:clear="all"/>
      </w:r>
      <w:bookmarkStart w:id="141" w:name="_Toc28140"/>
      <w:r>
        <w:rPr>
          <w:rFonts w:hint="eastAsia" w:ascii="宋体" w:hAnsi="宋体" w:eastAsia="宋体" w:cs="宋体"/>
          <w:color w:val="auto"/>
          <w:sz w:val="24"/>
          <w:szCs w:val="24"/>
          <w:highlight w:val="none"/>
        </w:rPr>
        <w:t xml:space="preserve">十一、项目实施方案</w:t>
      </w:r>
      <w:r/>
    </w:p>
    <w:p>
      <w:pPr>
        <w:pStyle w:val="907"/>
        <w:ind w:left="0" w:right="0"/>
        <w:spacing w:beforeAutospacing="0" w:afterAutospacing="0" w:line="440" w:lineRule="exact"/>
        <w:rPr>
          <w:rFonts w:hint="eastAsia" w:ascii="宋体" w:hAnsi="宋体" w:eastAsia="宋体" w:cs="宋体"/>
          <w:b w:val="0"/>
          <w:color w:val="auto"/>
          <w:sz w:val="24"/>
          <w:szCs w:val="24"/>
          <w:highlight w:val="none"/>
        </w:rPr>
        <w:outlineLvl w:val="1"/>
      </w:pPr>
      <w:r>
        <w:rPr>
          <w:rFonts w:hint="eastAsia" w:ascii="宋体" w:hAnsi="宋体" w:eastAsia="宋体" w:cs="宋体"/>
          <w:b w:val="0"/>
          <w:color w:val="auto"/>
          <w:sz w:val="24"/>
          <w:szCs w:val="24"/>
          <w:highlight w:val="none"/>
        </w:rPr>
        <w:t xml:space="preserve">根据评分办法自行编制</w:t>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、投标所需其他材料</w:t>
      </w:r>
      <w:bookmarkEnd w:id="141"/>
      <w:r/>
      <w:r/>
    </w:p>
    <w:p>
      <w:pPr>
        <w:pStyle w:val="908"/>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End w:id="136"/>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3"/>
        <w:ind w:left="0" w:right="0" w:firstLine="0"/>
        <w:spacing w:beforeAutospacing="0" w:afterAutospacing="0" w:line="440" w:lineRule="exact"/>
        <w:rPr>
          <w:rFonts w:hint="eastAsia" w:ascii="宋体" w:hAnsi="宋体" w:eastAsia="宋体" w:cs="宋体"/>
          <w:color w:val="auto"/>
          <w:sz w:val="24"/>
          <w:szCs w:val="24"/>
          <w:highlight w:val="none"/>
        </w:rPr>
      </w:pPr>
      <w:r/>
      <w:bookmarkStart w:id="142" w:name="_Hlt26955066"/>
      <w:r/>
      <w:bookmarkEnd w:id="142"/>
      <w:r/>
      <w:bookmarkStart w:id="143" w:name="_Hlt26609389"/>
      <w:r/>
      <w:bookmarkEnd w:id="143"/>
      <w:r/>
      <w:bookmarkStart w:id="144" w:name="_Hlt26671374"/>
      <w:r/>
      <w:bookmarkEnd w:id="144"/>
      <w:r/>
      <w:bookmarkStart w:id="145" w:name="_Toc462564146"/>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45"/>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
          <w:bCs/>
          <w:color w:val="auto"/>
          <w:sz w:val="24"/>
          <w:szCs w:val="24"/>
          <w:highlight w:val="none"/>
        </w:rPr>
      </w:pPr>
      <w:r/>
      <w:bookmarkStart w:id="146" w:name="_格式2__法定代表人授权书"/>
      <w:r/>
      <w:bookmarkEnd w:id="146"/>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rPr>
        <w:t xml:space="preserve">质疑函范本</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88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Cambria Math">
    <w:panose1 w:val="02040503050406030204"/>
  </w:font>
  <w:font w:name="Wingdings">
    <w:panose1 w:val="05000000000000000000"/>
  </w:font>
  <w:font w:name="华文楷体">
    <w:panose1 w:val="02010600040101010101"/>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link w:val="863"/>
    <w:uiPriority w:val="0"/>
    <w:qFormat/>
    <w:pPr>
      <w:jc w:val="both"/>
      <w:widowControl w:val="off"/>
    </w:pPr>
    <w:rPr>
      <w:rFonts w:hint="default" w:ascii="Calibri" w:hAnsi="Calibri" w:eastAsia="宋体" w:cs="Times New Roman"/>
      <w:sz w:val="21"/>
      <w:szCs w:val="24"/>
      <w:lang w:val="en-US" w:eastAsia="zh-CN" w:bidi="ar-SA"/>
    </w:rPr>
  </w:style>
  <w:style w:type="paragraph" w:styleId="667">
    <w:name w:val="Heading 1"/>
    <w:basedOn w:val="666"/>
    <w:next w:val="666"/>
    <w:link w:val="704"/>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05"/>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06"/>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07"/>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08"/>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09"/>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11"/>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12"/>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Body Text"/>
    <w:basedOn w:val="666"/>
    <w:next w:val="666"/>
    <w:uiPriority w:val="0"/>
    <w:qFormat/>
    <w:rPr>
      <w:rFonts w:ascii="楷体_GB2312" w:hAnsi="Arial" w:eastAsia="楷体_GB2312"/>
      <w:sz w:val="28"/>
      <w:szCs w:val="28"/>
    </w:rPr>
  </w:style>
  <w:style w:type="paragraph" w:styleId="681">
    <w:name w:val="Body Text Indent"/>
    <w:basedOn w:val="666"/>
    <w:next w:val="682"/>
    <w:uiPriority w:val="0"/>
    <w:qFormat/>
    <w:pPr>
      <w:ind w:firstLine="225"/>
    </w:pPr>
    <w:rPr>
      <w:rFonts w:ascii="仿宋_GB2312" w:eastAsia="仿宋_GB2312"/>
      <w:sz w:val="32"/>
    </w:rPr>
  </w:style>
  <w:style w:type="paragraph" w:styleId="682">
    <w:name w:val="envelope return"/>
    <w:basedOn w:val="666"/>
    <w:uiPriority w:val="0"/>
    <w:qFormat/>
    <w:rPr>
      <w:rFonts w:ascii="Arial" w:hAnsi="Arial"/>
    </w:rPr>
  </w:style>
  <w:style w:type="paragraph" w:styleId="683">
    <w:name w:val="toc 5"/>
    <w:basedOn w:val="666"/>
    <w:next w:val="666"/>
    <w:uiPriority w:val="39"/>
    <w:unhideWhenUsed/>
    <w:qFormat/>
    <w:pPr>
      <w:ind w:left="1134" w:right="0" w:firstLine="0"/>
      <w:spacing w:after="57"/>
    </w:pPr>
  </w:style>
  <w:style w:type="paragraph" w:styleId="684">
    <w:name w:val="toc 3"/>
    <w:basedOn w:val="666"/>
    <w:next w:val="666"/>
    <w:uiPriority w:val="39"/>
    <w:unhideWhenUsed/>
    <w:qFormat/>
    <w:pPr>
      <w:ind w:left="567" w:right="0" w:firstLine="0"/>
      <w:spacing w:after="57"/>
    </w:pPr>
  </w:style>
  <w:style w:type="paragraph" w:styleId="685">
    <w:name w:val="Plain Text"/>
    <w:basedOn w:val="666"/>
    <w:uiPriority w:val="0"/>
    <w:qFormat/>
    <w:rPr>
      <w:rFonts w:ascii="宋体" w:hAnsi="Courier New" w:cs="Courier New"/>
    </w:rPr>
  </w:style>
  <w:style w:type="paragraph" w:styleId="686">
    <w:name w:val="toc 8"/>
    <w:basedOn w:val="666"/>
    <w:next w:val="666"/>
    <w:uiPriority w:val="39"/>
    <w:unhideWhenUsed/>
    <w:qFormat/>
    <w:pPr>
      <w:ind w:left="1984" w:right="0" w:firstLine="0"/>
      <w:spacing w:after="57"/>
    </w:pPr>
  </w:style>
  <w:style w:type="paragraph" w:styleId="687">
    <w:name w:val="endnote text"/>
    <w:basedOn w:val="666"/>
    <w:link w:val="850"/>
    <w:uiPriority w:val="99"/>
    <w:semiHidden/>
    <w:unhideWhenUsed/>
    <w:qFormat/>
    <w:pPr>
      <w:spacing w:after="0" w:line="240" w:lineRule="auto"/>
    </w:pPr>
    <w:rPr>
      <w:sz w:val="20"/>
    </w:rPr>
  </w:style>
  <w:style w:type="paragraph" w:styleId="688">
    <w:name w:val="Footer"/>
    <w:basedOn w:val="666"/>
    <w:link w:val="723"/>
    <w:uiPriority w:val="99"/>
    <w:unhideWhenUsed/>
    <w:qFormat/>
    <w:pPr>
      <w:spacing w:after="0" w:line="240" w:lineRule="auto"/>
      <w:tabs>
        <w:tab w:val="center" w:pos="7143" w:leader="none"/>
        <w:tab w:val="right" w:pos="14287" w:leader="none"/>
      </w:tabs>
    </w:pPr>
  </w:style>
  <w:style w:type="paragraph" w:styleId="689">
    <w:name w:val="Header"/>
    <w:basedOn w:val="666"/>
    <w:link w:val="721"/>
    <w:uiPriority w:val="99"/>
    <w:unhideWhenUsed/>
    <w:qFormat/>
    <w:pPr>
      <w:spacing w:after="0" w:line="240" w:lineRule="auto"/>
      <w:tabs>
        <w:tab w:val="center" w:pos="7143" w:leader="none"/>
        <w:tab w:val="right" w:pos="14287" w:leader="none"/>
      </w:tabs>
    </w:pPr>
  </w:style>
  <w:style w:type="paragraph" w:styleId="690">
    <w:name w:val="toc 1"/>
    <w:basedOn w:val="666"/>
    <w:next w:val="666"/>
    <w:uiPriority w:val="39"/>
    <w:unhideWhenUsed/>
    <w:qFormat/>
    <w:pPr>
      <w:ind w:left="0" w:right="0" w:firstLine="0"/>
      <w:spacing w:after="57"/>
    </w:pPr>
  </w:style>
  <w:style w:type="paragraph" w:styleId="691">
    <w:name w:val="toc 4"/>
    <w:basedOn w:val="666"/>
    <w:next w:val="666"/>
    <w:uiPriority w:val="39"/>
    <w:unhideWhenUsed/>
    <w:qFormat/>
    <w:pPr>
      <w:ind w:left="850" w:right="0" w:firstLine="0"/>
      <w:spacing w:after="57"/>
    </w:pPr>
  </w:style>
  <w:style w:type="paragraph" w:styleId="692">
    <w:name w:val="Subtitle"/>
    <w:basedOn w:val="666"/>
    <w:next w:val="666"/>
    <w:link w:val="716"/>
    <w:uiPriority w:val="11"/>
    <w:qFormat/>
    <w:pPr>
      <w:spacing w:before="200" w:after="200"/>
    </w:pPr>
    <w:rPr>
      <w:sz w:val="24"/>
      <w:szCs w:val="24"/>
    </w:rPr>
  </w:style>
  <w:style w:type="paragraph" w:styleId="693">
    <w:name w:val="footnote text"/>
    <w:basedOn w:val="666"/>
    <w:link w:val="849"/>
    <w:uiPriority w:val="99"/>
    <w:semiHidden/>
    <w:unhideWhenUsed/>
    <w:qFormat/>
    <w:pPr>
      <w:spacing w:after="40" w:line="240" w:lineRule="auto"/>
    </w:pPr>
    <w:rPr>
      <w:sz w:val="18"/>
    </w:rPr>
  </w:style>
  <w:style w:type="paragraph" w:styleId="694">
    <w:name w:val="toc 6"/>
    <w:basedOn w:val="666"/>
    <w:next w:val="666"/>
    <w:uiPriority w:val="39"/>
    <w:unhideWhenUsed/>
    <w:qFormat/>
    <w:pPr>
      <w:ind w:left="1417" w:right="0" w:firstLine="0"/>
      <w:spacing w:after="57"/>
    </w:pPr>
  </w:style>
  <w:style w:type="paragraph" w:styleId="695">
    <w:name w:val="table of figures"/>
    <w:basedOn w:val="666"/>
    <w:next w:val="666"/>
    <w:uiPriority w:val="99"/>
    <w:unhideWhenUsed/>
    <w:qFormat/>
    <w:pPr>
      <w:spacing w:after="0" w:afterAutospacing="0"/>
    </w:pPr>
  </w:style>
  <w:style w:type="paragraph" w:styleId="696">
    <w:name w:val="toc 2"/>
    <w:basedOn w:val="666"/>
    <w:next w:val="666"/>
    <w:uiPriority w:val="39"/>
    <w:unhideWhenUsed/>
    <w:qFormat/>
    <w:pPr>
      <w:ind w:left="283" w:right="0" w:firstLine="0"/>
      <w:spacing w:after="57"/>
    </w:pPr>
  </w:style>
  <w:style w:type="paragraph" w:styleId="697">
    <w:name w:val="toc 9"/>
    <w:basedOn w:val="666"/>
    <w:next w:val="666"/>
    <w:uiPriority w:val="39"/>
    <w:unhideWhenUsed/>
    <w:qFormat/>
    <w:pPr>
      <w:ind w:left="2268" w:right="0" w:firstLine="0"/>
      <w:spacing w:after="57"/>
    </w:pPr>
  </w:style>
  <w:style w:type="paragraph" w:styleId="698">
    <w:name w:val="Title"/>
    <w:basedOn w:val="666"/>
    <w:next w:val="666"/>
    <w:link w:val="715"/>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basedOn w:val="676"/>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paragraph" w:styleId="703" w:customStyle="1">
    <w:name w:val="标题二、"/>
    <w:basedOn w:val="666"/>
    <w:uiPriority w:val="99"/>
    <w:qFormat/>
    <w:pPr>
      <w:ind w:firstLine="200"/>
      <w:spacing w:line="360" w:lineRule="auto"/>
      <w:outlineLvl w:val="2"/>
    </w:pPr>
    <w:rPr>
      <w:rFonts w:ascii="宋体" w:hAnsi="宋体"/>
      <w:b/>
      <w:szCs w:val="21"/>
    </w:rPr>
  </w:style>
  <w:style w:type="character" w:styleId="704" w:customStyle="1">
    <w:name w:val="Heading 1 Char"/>
    <w:link w:val="667"/>
    <w:uiPriority w:val="9"/>
    <w:qFormat/>
    <w:rPr>
      <w:rFonts w:ascii="Arial" w:hAnsi="Arial" w:eastAsia="Arial" w:cs="Arial"/>
      <w:sz w:val="40"/>
      <w:szCs w:val="40"/>
    </w:rPr>
  </w:style>
  <w:style w:type="character" w:styleId="705" w:customStyle="1">
    <w:name w:val="Heading 2 Char"/>
    <w:link w:val="668"/>
    <w:uiPriority w:val="9"/>
    <w:qFormat/>
    <w:rPr>
      <w:rFonts w:ascii="Arial" w:hAnsi="Arial" w:eastAsia="Arial" w:cs="Arial"/>
      <w:sz w:val="34"/>
    </w:rPr>
  </w:style>
  <w:style w:type="character" w:styleId="706" w:customStyle="1">
    <w:name w:val="Heading 3 Char"/>
    <w:link w:val="669"/>
    <w:uiPriority w:val="9"/>
    <w:qFormat/>
    <w:rPr>
      <w:rFonts w:ascii="Arial" w:hAnsi="Arial" w:eastAsia="Arial" w:cs="Arial"/>
      <w:sz w:val="30"/>
      <w:szCs w:val="30"/>
    </w:rPr>
  </w:style>
  <w:style w:type="character" w:styleId="707" w:customStyle="1">
    <w:name w:val="Heading 4 Char"/>
    <w:link w:val="670"/>
    <w:uiPriority w:val="9"/>
    <w:qFormat/>
    <w:rPr>
      <w:rFonts w:ascii="Arial" w:hAnsi="Arial" w:eastAsia="Arial" w:cs="Arial"/>
      <w:b/>
      <w:bCs/>
      <w:sz w:val="26"/>
      <w:szCs w:val="26"/>
    </w:rPr>
  </w:style>
  <w:style w:type="character" w:styleId="708" w:customStyle="1">
    <w:name w:val="Heading 5 Char"/>
    <w:link w:val="671"/>
    <w:uiPriority w:val="9"/>
    <w:qFormat/>
    <w:rPr>
      <w:rFonts w:ascii="Arial" w:hAnsi="Arial" w:eastAsia="Arial" w:cs="Arial"/>
      <w:b/>
      <w:bCs/>
      <w:sz w:val="24"/>
      <w:szCs w:val="24"/>
    </w:rPr>
  </w:style>
  <w:style w:type="character" w:styleId="709" w:customStyle="1">
    <w:name w:val="Heading 6 Char"/>
    <w:link w:val="672"/>
    <w:uiPriority w:val="9"/>
    <w:qFormat/>
    <w:rPr>
      <w:rFonts w:ascii="Arial" w:hAnsi="Arial" w:eastAsia="Arial" w:cs="Arial"/>
      <w:b/>
      <w:bCs/>
      <w:sz w:val="22"/>
      <w:szCs w:val="22"/>
    </w:rPr>
  </w:style>
  <w:style w:type="character" w:styleId="710" w:customStyle="1">
    <w:name w:val="Heading 7 Char"/>
    <w:link w:val="673"/>
    <w:uiPriority w:val="9"/>
    <w:qFormat/>
    <w:rPr>
      <w:rFonts w:ascii="Arial" w:hAnsi="Arial" w:eastAsia="Arial" w:cs="Arial"/>
      <w:b/>
      <w:bCs/>
      <w:i/>
      <w:iCs/>
      <w:sz w:val="22"/>
      <w:szCs w:val="22"/>
    </w:rPr>
  </w:style>
  <w:style w:type="character" w:styleId="711" w:customStyle="1">
    <w:name w:val="Heading 8 Char"/>
    <w:link w:val="674"/>
    <w:uiPriority w:val="9"/>
    <w:qFormat/>
    <w:rPr>
      <w:rFonts w:ascii="Arial" w:hAnsi="Arial" w:eastAsia="Arial" w:cs="Arial"/>
      <w:i/>
      <w:iCs/>
      <w:sz w:val="22"/>
      <w:szCs w:val="22"/>
    </w:rPr>
  </w:style>
  <w:style w:type="character" w:styleId="712" w:customStyle="1">
    <w:name w:val="Heading 9 Char"/>
    <w:link w:val="675"/>
    <w:uiPriority w:val="9"/>
    <w:qFormat/>
    <w:rPr>
      <w:rFonts w:ascii="Arial" w:hAnsi="Arial" w:eastAsia="Arial" w:cs="Arial"/>
      <w:i/>
      <w:iCs/>
      <w:sz w:val="21"/>
      <w:szCs w:val="21"/>
    </w:rPr>
  </w:style>
  <w:style w:type="paragraph" w:styleId="713">
    <w:name w:val="List Paragraph"/>
    <w:basedOn w:val="666"/>
    <w:uiPriority w:val="34"/>
    <w:qFormat/>
    <w:pPr>
      <w:contextualSpacing/>
      <w:ind w:left="720"/>
    </w:pPr>
  </w:style>
  <w:style w:type="paragraph" w:styleId="714">
    <w:name w:val="No Spacing"/>
    <w:uiPriority w:val="1"/>
    <w:qFormat/>
    <w:pPr>
      <w:spacing w:before="0" w:after="0" w:line="240" w:lineRule="auto"/>
    </w:pPr>
    <w:rPr>
      <w:rFonts w:hint="default" w:ascii="Times New Roman" w:hAnsi="Times New Roman" w:eastAsia="宋体" w:cs="Times New Roman"/>
    </w:rPr>
  </w:style>
  <w:style w:type="character" w:styleId="715" w:customStyle="1">
    <w:name w:val="Title Char"/>
    <w:link w:val="698"/>
    <w:uiPriority w:val="10"/>
    <w:qFormat/>
    <w:rPr>
      <w:sz w:val="48"/>
      <w:szCs w:val="48"/>
    </w:rPr>
  </w:style>
  <w:style w:type="character" w:styleId="716" w:customStyle="1">
    <w:name w:val="Subtitle Char"/>
    <w:link w:val="692"/>
    <w:uiPriority w:val="11"/>
    <w:qFormat/>
    <w:rPr>
      <w:sz w:val="24"/>
      <w:szCs w:val="24"/>
    </w:rPr>
  </w:style>
  <w:style w:type="paragraph" w:styleId="717">
    <w:name w:val="Quote"/>
    <w:basedOn w:val="666"/>
    <w:next w:val="666"/>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66"/>
    <w:next w:val="666"/>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character" w:styleId="721" w:customStyle="1">
    <w:name w:val="Header Char"/>
    <w:link w:val="689"/>
    <w:uiPriority w:val="99"/>
    <w:qFormat/>
  </w:style>
  <w:style w:type="character" w:styleId="722" w:customStyle="1">
    <w:name w:val="Footer Char"/>
    <w:link w:val="688"/>
    <w:uiPriority w:val="99"/>
    <w:qFormat/>
  </w:style>
  <w:style w:type="character" w:styleId="723" w:customStyle="1">
    <w:name w:val="Caption Char"/>
    <w:link w:val="688"/>
    <w:uiPriority w:val="99"/>
    <w:qFormat/>
  </w:style>
  <w:style w:type="table" w:styleId="7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Footnote Text Char"/>
    <w:link w:val="693"/>
    <w:uiPriority w:val="99"/>
    <w:qFormat/>
    <w:rPr>
      <w:sz w:val="18"/>
    </w:rPr>
  </w:style>
  <w:style w:type="character" w:styleId="850" w:customStyle="1">
    <w:name w:val="Endnote Text Char"/>
    <w:link w:val="687"/>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标题 31"/>
    <w:basedOn w:val="666"/>
    <w:next w:val="666"/>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53" w:customStyle="1">
    <w:name w:val="默认段落字体1"/>
    <w:link w:val="666"/>
    <w:uiPriority w:val="0"/>
    <w:semiHidden/>
    <w:qFormat/>
  </w:style>
  <w:style w:type="table" w:styleId="854" w:customStyle="1">
    <w:name w:val="普通表格1"/>
    <w:uiPriority w:val="0"/>
    <w:semiHidden/>
    <w:qFormat/>
    <w:tblPr/>
  </w:style>
  <w:style w:type="paragraph" w:styleId="855" w:customStyle="1">
    <w:name w:val="正文文本1"/>
    <w:basedOn w:val="666"/>
    <w:next w:val="666"/>
    <w:uiPriority w:val="99"/>
    <w:unhideWhenUsed/>
    <w:qFormat/>
    <w:pPr>
      <w:spacing w:after="120"/>
    </w:pPr>
  </w:style>
  <w:style w:type="paragraph" w:styleId="856" w:customStyle="1">
    <w:name w:val="批注文字1"/>
    <w:basedOn w:val="666"/>
    <w:uiPriority w:val="0"/>
    <w:qFormat/>
    <w:pPr>
      <w:jc w:val="left"/>
    </w:pPr>
  </w:style>
  <w:style w:type="paragraph" w:styleId="857" w:customStyle="1">
    <w:name w:val="页脚1"/>
    <w:basedOn w:val="666"/>
    <w:link w:val="858"/>
    <w:uiPriority w:val="0"/>
    <w:qFormat/>
    <w:pPr>
      <w:jc w:val="left"/>
      <w:tabs>
        <w:tab w:val="center" w:pos="4153" w:leader="none"/>
        <w:tab w:val="right" w:pos="8306" w:leader="none"/>
      </w:tabs>
    </w:pPr>
    <w:rPr>
      <w:sz w:val="18"/>
      <w:szCs w:val="18"/>
    </w:rPr>
  </w:style>
  <w:style w:type="character" w:styleId="858" w:customStyle="1">
    <w:name w:val="页脚 字符"/>
    <w:link w:val="857"/>
    <w:uiPriority w:val="0"/>
    <w:qFormat/>
    <w:rPr>
      <w:rFonts w:ascii="Calibri" w:hAnsi="Calibri"/>
      <w:sz w:val="18"/>
      <w:szCs w:val="18"/>
    </w:rPr>
  </w:style>
  <w:style w:type="paragraph" w:styleId="859" w:customStyle="1">
    <w:name w:val="页眉1"/>
    <w:basedOn w:val="666"/>
    <w:link w:val="860"/>
    <w:uiPriority w:val="0"/>
    <w:qFormat/>
    <w:pPr>
      <w:jc w:val="center"/>
      <w:tabs>
        <w:tab w:val="center" w:pos="4153" w:leader="none"/>
        <w:tab w:val="right" w:pos="8306" w:leader="none"/>
      </w:tabs>
      <w:pBdr>
        <w:bottom w:val="single" w:color="000000" w:sz="6" w:space="1"/>
      </w:pBdr>
    </w:pPr>
    <w:rPr>
      <w:sz w:val="18"/>
      <w:szCs w:val="18"/>
    </w:rPr>
  </w:style>
  <w:style w:type="character" w:styleId="860" w:customStyle="1">
    <w:name w:val="页眉 字符"/>
    <w:link w:val="859"/>
    <w:uiPriority w:val="0"/>
    <w:qFormat/>
    <w:rPr>
      <w:rFonts w:ascii="Calibri" w:hAnsi="Calibri"/>
      <w:sz w:val="18"/>
      <w:szCs w:val="18"/>
    </w:rPr>
  </w:style>
  <w:style w:type="paragraph" w:styleId="861" w:customStyle="1">
    <w:name w:val="普通(网站)1"/>
    <w:basedOn w:val="666"/>
    <w:uiPriority w:val="0"/>
    <w:qFormat/>
    <w:pPr>
      <w:ind w:left="0" w:right="0"/>
      <w:jc w:val="left"/>
      <w:spacing w:before="100" w:beforeAutospacing="1" w:after="100" w:afterAutospacing="1"/>
    </w:pPr>
    <w:rPr>
      <w:sz w:val="24"/>
      <w:lang w:val="en-US" w:eastAsia="zh-CN" w:bidi="ar"/>
    </w:rPr>
  </w:style>
  <w:style w:type="table" w:styleId="862" w:customStyle="1">
    <w:name w:val="网格型1"/>
    <w:basedOn w:val="854"/>
    <w:uiPriority w:val="0"/>
    <w:qFormat/>
    <w:tblPr/>
  </w:style>
  <w:style w:type="character" w:styleId="863" w:customStyle="1">
    <w:name w:val="超链接1"/>
    <w:link w:val="666"/>
    <w:uiPriority w:val="0"/>
    <w:qFormat/>
    <w:rPr>
      <w:color w:val="0000ff"/>
      <w:u w:val="single"/>
    </w:rPr>
  </w:style>
  <w:style w:type="paragraph" w:styleId="864"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86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866" w:customStyle="1">
    <w:name w:val="标题 3_0"/>
    <w:basedOn w:val="867"/>
    <w:next w:val="867"/>
    <w:uiPriority w:val="0"/>
    <w:qFormat/>
    <w:pPr>
      <w:keepLines/>
      <w:keepNext/>
      <w:spacing w:before="260" w:after="260" w:line="413" w:lineRule="auto"/>
      <w:outlineLvl w:val="2"/>
    </w:pPr>
    <w:rPr>
      <w:rFonts w:ascii="Calibri" w:hAnsi="Calibri" w:eastAsia="Times New Roman"/>
      <w:b/>
      <w:sz w:val="32"/>
    </w:rPr>
  </w:style>
  <w:style w:type="paragraph" w:styleId="867" w:customStyle="1">
    <w:name w:val="正文_3_0_1"/>
    <w:uiPriority w:val="0"/>
    <w:qFormat/>
    <w:pPr>
      <w:jc w:val="both"/>
      <w:widowControl w:val="off"/>
    </w:pPr>
    <w:rPr>
      <w:rFonts w:hint="default" w:ascii="Times New Roman" w:hAnsi="Times New Roman" w:eastAsia="宋体" w:cs="Times New Roman"/>
      <w:lang w:val="en-US" w:eastAsia="zh-CN" w:bidi="ar-SA"/>
    </w:rPr>
  </w:style>
  <w:style w:type="paragraph" w:styleId="868" w:customStyle="1">
    <w:name w:val="标题 4_0"/>
    <w:basedOn w:val="869"/>
    <w:next w:val="869"/>
    <w:uiPriority w:val="9"/>
    <w:unhideWhenUsed/>
    <w:qFormat/>
    <w:pPr>
      <w:keepLines/>
      <w:keepNext/>
      <w:spacing w:before="280" w:after="290" w:line="372" w:lineRule="auto"/>
      <w:outlineLvl w:val="3"/>
    </w:pPr>
    <w:rPr>
      <w:rFonts w:ascii="Arial" w:hAnsi="Arial" w:eastAsia="黑体"/>
      <w:b/>
      <w:sz w:val="28"/>
      <w:szCs w:val="20"/>
    </w:rPr>
  </w:style>
  <w:style w:type="paragraph" w:styleId="869" w:customStyle="1">
    <w:name w:val="Normal1"/>
    <w:uiPriority w:val="0"/>
    <w:qFormat/>
    <w:pPr>
      <w:jc w:val="both"/>
      <w:widowControl w:val="off"/>
    </w:pPr>
    <w:rPr>
      <w:rFonts w:hint="default" w:ascii="Calibri" w:hAnsi="Calibri" w:eastAsia="宋体" w:cs="Times New Roman"/>
      <w:lang w:val="en-US" w:eastAsia="zh-CN" w:bidi="ar-SA"/>
    </w:rPr>
  </w:style>
  <w:style w:type="paragraph" w:styleId="870" w:customStyle="1">
    <w:name w:val="标题 5_0"/>
    <w:basedOn w:val="869"/>
    <w:next w:val="869"/>
    <w:uiPriority w:val="9"/>
    <w:unhideWhenUsed/>
    <w:qFormat/>
    <w:pPr>
      <w:keepLines/>
      <w:keepNext/>
      <w:spacing w:before="280" w:after="290" w:line="374" w:lineRule="auto"/>
      <w:outlineLvl w:val="4"/>
    </w:pPr>
    <w:rPr>
      <w:rFonts w:eastAsia="Times New Roman"/>
      <w:b/>
      <w:bCs/>
      <w:sz w:val="28"/>
      <w:szCs w:val="28"/>
    </w:rPr>
  </w:style>
  <w:style w:type="paragraph" w:styleId="871" w:customStyle="1">
    <w:name w:val="Normal_20_0_0"/>
    <w:next w:val="872"/>
    <w:uiPriority w:val="0"/>
    <w:qFormat/>
    <w:pPr>
      <w:jc w:val="both"/>
      <w:widowControl w:val="off"/>
    </w:pPr>
    <w:rPr>
      <w:rFonts w:hint="default" w:ascii="Calibri" w:hAnsi="Calibri" w:eastAsia="宋体" w:cs="Times New Roman"/>
      <w:sz w:val="21"/>
      <w:szCs w:val="22"/>
      <w:lang w:val="en-US" w:eastAsia="zh-CN" w:bidi="ar-SA"/>
    </w:rPr>
  </w:style>
  <w:style w:type="paragraph" w:styleId="872" w:customStyle="1">
    <w:name w:val="Heading 1_0_0"/>
    <w:basedOn w:val="871"/>
    <w:next w:val="871"/>
    <w:uiPriority w:val="0"/>
    <w:qFormat/>
    <w:pPr>
      <w:keepLines/>
      <w:keepNext/>
      <w:spacing w:before="340" w:after="330" w:line="576" w:lineRule="auto"/>
      <w:outlineLvl w:val="0"/>
    </w:pPr>
    <w:rPr>
      <w:rFonts w:ascii="Times New Roman" w:hAnsi="Times New Roman"/>
      <w:b/>
      <w:sz w:val="44"/>
      <w:szCs w:val="20"/>
    </w:rPr>
  </w:style>
  <w:style w:type="paragraph" w:styleId="873" w:customStyle="1">
    <w:name w:val="正文_2_0"/>
    <w:basedOn w:val="874"/>
    <w:next w:val="874"/>
    <w:uiPriority w:val="0"/>
    <w:qFormat/>
    <w:pPr>
      <w:jc w:val="both"/>
      <w:widowControl w:val="off"/>
    </w:pPr>
    <w:rPr>
      <w:rFonts w:hint="default" w:ascii="Calibri" w:hAnsi="Calibri" w:eastAsia="宋体" w:cs="Times New Roman"/>
      <w:lang w:val="en-US" w:eastAsia="zh-CN" w:bidi="ar-SA"/>
    </w:rPr>
  </w:style>
  <w:style w:type="paragraph" w:styleId="874"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875" w:customStyle="1">
    <w:name w:val="正文_2"/>
    <w:uiPriority w:val="0"/>
    <w:qFormat/>
    <w:pPr>
      <w:jc w:val="both"/>
      <w:widowControl w:val="off"/>
    </w:pPr>
    <w:rPr>
      <w:rFonts w:hint="default" w:ascii="Calibri" w:hAnsi="Calibri" w:eastAsia="宋体" w:cs="Times New Roman"/>
      <w:sz w:val="21"/>
      <w:szCs w:val="22"/>
    </w:rPr>
  </w:style>
  <w:style w:type="paragraph" w:styleId="876" w:customStyle="1">
    <w:name w:val="标题 1_0"/>
    <w:basedOn w:val="877"/>
    <w:next w:val="877"/>
    <w:uiPriority w:val="0"/>
    <w:qFormat/>
    <w:pPr>
      <w:keepLines/>
      <w:keepNext/>
      <w:spacing w:before="340" w:after="330" w:line="576" w:lineRule="auto"/>
      <w:outlineLvl w:val="0"/>
    </w:pPr>
    <w:rPr>
      <w:rFonts w:ascii="Calibri" w:hAnsi="Calibri"/>
      <w:b/>
      <w:sz w:val="44"/>
      <w:szCs w:val="20"/>
    </w:rPr>
  </w:style>
  <w:style w:type="paragraph" w:styleId="877" w:customStyle="1">
    <w:name w:val="正文_0_1"/>
    <w:uiPriority w:val="0"/>
    <w:qFormat/>
    <w:pPr>
      <w:jc w:val="both"/>
      <w:widowControl w:val="off"/>
    </w:pPr>
    <w:rPr>
      <w:rFonts w:hint="default" w:ascii="Times New Roman" w:hAnsi="Times New Roman" w:eastAsia="宋体" w:cs="Times New Roman"/>
      <w:sz w:val="21"/>
      <w:szCs w:val="24"/>
    </w:rPr>
  </w:style>
  <w:style w:type="paragraph" w:styleId="878" w:customStyle="1">
    <w:name w:val="标题 2_0"/>
    <w:basedOn w:val="875"/>
    <w:next w:val="875"/>
    <w:uiPriority w:val="0"/>
    <w:qFormat/>
    <w:pPr>
      <w:keepLines/>
      <w:keepNext/>
      <w:spacing w:before="260" w:after="260" w:line="413" w:lineRule="auto"/>
      <w:outlineLvl w:val="1"/>
    </w:pPr>
    <w:rPr>
      <w:rFonts w:ascii="Arial" w:hAnsi="Arial" w:eastAsia="黑体"/>
      <w:b/>
      <w:sz w:val="32"/>
      <w:szCs w:val="20"/>
    </w:rPr>
  </w:style>
  <w:style w:type="paragraph" w:styleId="879" w:customStyle="1">
    <w:name w:val="正文_16"/>
    <w:next w:val="880"/>
    <w:uiPriority w:val="0"/>
    <w:qFormat/>
    <w:pPr>
      <w:jc w:val="both"/>
      <w:widowControl w:val="off"/>
    </w:pPr>
    <w:rPr>
      <w:rFonts w:hint="default" w:ascii="Calibri" w:hAnsi="Calibri" w:eastAsia="宋体" w:cs="Times New Roman"/>
      <w:sz w:val="21"/>
      <w:szCs w:val="22"/>
    </w:rPr>
  </w:style>
  <w:style w:type="paragraph" w:styleId="880" w:customStyle="1">
    <w:name w:val="正文首行缩进 2_0"/>
    <w:basedOn w:val="881"/>
    <w:uiPriority w:val="0"/>
    <w:qFormat/>
    <w:pPr>
      <w:ind w:left="200" w:firstLine="200"/>
      <w:spacing w:after="120"/>
    </w:pPr>
    <w:rPr>
      <w:rFonts w:ascii="Times New Roman" w:hAnsi="Times New Roman"/>
      <w:sz w:val="24"/>
      <w:szCs w:val="24"/>
    </w:rPr>
  </w:style>
  <w:style w:type="paragraph" w:styleId="881" w:customStyle="1">
    <w:name w:val="正文文本缩进_0"/>
    <w:basedOn w:val="875"/>
    <w:uiPriority w:val="0"/>
    <w:qFormat/>
    <w:pPr>
      <w:ind w:firstLine="225"/>
    </w:pPr>
    <w:rPr>
      <w:rFonts w:ascii="仿宋_GB2312" w:eastAsia="仿宋_GB2312"/>
      <w:sz w:val="32"/>
    </w:rPr>
  </w:style>
  <w:style w:type="paragraph" w:styleId="882" w:customStyle="1">
    <w:name w:val="标题 41"/>
    <w:basedOn w:val="666"/>
    <w:next w:val="883"/>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正文缩进1"/>
    <w:basedOn w:val="666"/>
    <w:next w:val="666"/>
    <w:uiPriority w:val="0"/>
    <w:qFormat/>
    <w:pPr>
      <w:ind w:firstLine="420"/>
    </w:pPr>
  </w:style>
  <w:style w:type="paragraph" w:styleId="884"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885" w:customStyle="1">
    <w:name w:val="Normal_19"/>
    <w:basedOn w:val="873"/>
    <w:uiPriority w:val="0"/>
    <w:qFormat/>
    <w:rPr>
      <w:rFonts w:eastAsia="宋体"/>
    </w:rPr>
  </w:style>
  <w:style w:type="paragraph" w:styleId="886" w:customStyle="1">
    <w:name w:val="无间隔1_0_0"/>
    <w:basedOn w:val="885"/>
    <w:uiPriority w:val="0"/>
    <w:qFormat/>
    <w:pPr>
      <w:spacing w:line="400" w:lineRule="exact"/>
    </w:pPr>
    <w:rPr>
      <w:rFonts w:ascii="Times New Roman" w:hAnsi="Times New Roman" w:eastAsia="Times New Roman" w:cs="Times New Roman"/>
      <w:color w:val="000000"/>
      <w:sz w:val="24"/>
      <w:szCs w:val="24"/>
    </w:rPr>
  </w:style>
  <w:style w:type="paragraph" w:styleId="8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8" w:customStyle="1">
    <w:name w:val="列出段落1"/>
    <w:basedOn w:val="666"/>
    <w:uiPriority w:val="0"/>
    <w:qFormat/>
    <w:pPr>
      <w:contextualSpacing/>
      <w:ind w:left="720"/>
      <w:jc w:val="left"/>
      <w:widowControl/>
    </w:pPr>
    <w:rPr>
      <w:rFonts w:ascii="Calibri" w:hAnsi="Calibri" w:eastAsia="宋体" w:cs="Times New Roman"/>
      <w:sz w:val="24"/>
      <w:szCs w:val="24"/>
      <w:lang w:eastAsia="en-US" w:bidi="en-US"/>
    </w:rPr>
  </w:style>
  <w:style w:type="paragraph" w:styleId="889" w:customStyle="1">
    <w:name w:val="正文文本11"/>
    <w:basedOn w:val="666"/>
    <w:next w:val="883"/>
    <w:uiPriority w:val="0"/>
    <w:qFormat/>
    <w:rPr>
      <w:rFonts w:ascii="楷体_GB2312" w:hAnsi="Arial" w:eastAsia="楷体_GB2312"/>
      <w:sz w:val="28"/>
      <w:szCs w:val="28"/>
    </w:rPr>
  </w:style>
  <w:style w:type="paragraph" w:styleId="890" w:customStyle="1">
    <w:name w:val="目录 1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89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89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893" w:customStyle="1">
    <w:name w:val="正文空2字"/>
    <w:basedOn w:val="894"/>
    <w:uiPriority w:val="99"/>
    <w:qFormat/>
    <w:pPr>
      <w:ind w:firstLine="640"/>
      <w:spacing w:line="560" w:lineRule="exact"/>
      <w:widowControl w:val="off"/>
    </w:pPr>
    <w:rPr>
      <w:rFonts w:ascii="仿宋_GB2312" w:hAnsi="仿宋_GB2312" w:cs="仿宋_GB2312"/>
      <w:lang w:val="zh-TW"/>
    </w:rPr>
  </w:style>
  <w:style w:type="paragraph" w:styleId="894" w:customStyle="1">
    <w:name w:val="左对齐正文"/>
    <w:uiPriority w:val="99"/>
    <w:qFormat/>
    <w:rPr>
      <w:rFonts w:hint="default" w:ascii="Calibri" w:hAnsi="Calibri" w:eastAsia="仿宋_GB2312" w:cs="Calibri"/>
      <w:sz w:val="32"/>
      <w:szCs w:val="32"/>
      <w:lang w:val="en-US" w:eastAsia="zh-CN" w:bidi="ar-SA"/>
    </w:rPr>
  </w:style>
  <w:style w:type="paragraph" w:styleId="895" w:customStyle="1">
    <w:name w:val="Char1"/>
    <w:basedOn w:val="666"/>
    <w:uiPriority w:val="0"/>
    <w:qFormat/>
    <w:pPr>
      <w:ind w:firstLine="200"/>
      <w:tabs>
        <w:tab w:val="left" w:pos="360" w:leader="none"/>
      </w:tabs>
    </w:pPr>
    <w:rPr>
      <w:sz w:val="28"/>
      <w:szCs w:val="30"/>
    </w:rPr>
  </w:style>
  <w:style w:type="paragraph" w:styleId="896"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897" w:customStyle="1">
    <w:name w:val="标题 21"/>
    <w:basedOn w:val="666"/>
    <w:next w:val="6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89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0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01" w:customStyle="1">
    <w:name w:val="正文文本12"/>
    <w:basedOn w:val="666"/>
    <w:uiPriority w:val="1"/>
    <w:qFormat/>
    <w:pPr>
      <w:ind w:left="120"/>
    </w:pPr>
    <w:rPr>
      <w:rFonts w:ascii="宋体" w:hAnsi="宋体" w:cs="宋体"/>
      <w:lang w:val="zh-CN" w:bidi="zh-CN"/>
    </w:rPr>
  </w:style>
  <w:style w:type="paragraph" w:styleId="902" w:customStyle="1">
    <w:name w:val="Normal_18_0"/>
    <w:uiPriority w:val="0"/>
    <w:qFormat/>
    <w:rPr>
      <w:rFonts w:hint="default" w:ascii="黑体" w:hAnsi="黑体" w:eastAsia="黑体" w:cs="黑体"/>
      <w:b/>
      <w:sz w:val="32"/>
      <w:szCs w:val="24"/>
      <w:lang w:val="en-US" w:eastAsia="zh-CN" w:bidi="ar-SA"/>
    </w:rPr>
  </w:style>
  <w:style w:type="paragraph" w:styleId="903" w:customStyle="1">
    <w:name w:val="正文_12_0_0_0_0"/>
    <w:basedOn w:val="666"/>
    <w:uiPriority w:val="0"/>
    <w:qFormat/>
    <w:rPr>
      <w:szCs w:val="24"/>
    </w:rPr>
  </w:style>
  <w:style w:type="paragraph" w:styleId="90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0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Normal_20"/>
    <w:uiPriority w:val="0"/>
    <w:qFormat/>
    <w:rPr>
      <w:rFonts w:hint="default" w:ascii="黑体" w:hAnsi="黑体" w:eastAsia="黑体" w:cs="黑体"/>
      <w:b/>
      <w:sz w:val="32"/>
      <w:szCs w:val="24"/>
      <w:lang w:val="en-US" w:eastAsia="zh-CN" w:bidi="ar-SA"/>
    </w:rPr>
  </w:style>
  <w:style w:type="paragraph" w:styleId="90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09" w:customStyle="1">
    <w:name w:val="页码1"/>
    <w:uiPriority w:val="0"/>
    <w:qFormat/>
  </w:style>
  <w:style w:type="paragraph" w:styleId="910" w:customStyle="1">
    <w:name w:val="WPSOffice手动目录 1"/>
    <w:uiPriority w:val="0"/>
    <w:qFormat/>
    <w:rPr>
      <w:rFonts w:hint="default" w:ascii="Times New Roman" w:hAnsi="Times New Roman" w:eastAsia="宋体" w:cs="Times New Roman"/>
      <w:sz w:val="20"/>
      <w:szCs w:val="20"/>
    </w:rPr>
  </w:style>
  <w:style w:type="character" w:styleId="911" w:customStyle="1">
    <w:name w:val="font11"/>
    <w:basedOn w:val="676"/>
    <w:uiPriority w:val="0"/>
    <w:qFormat/>
    <w:rPr>
      <w:rFonts w:hint="eastAsia" w:ascii="宋体" w:hAnsi="宋体" w:eastAsia="宋体" w:cs="宋体"/>
      <w:color w:val="000000"/>
      <w:sz w:val="24"/>
      <w:szCs w:val="24"/>
      <w:u w:val="none"/>
    </w:rPr>
  </w:style>
  <w:style w:type="character" w:styleId="912" w:customStyle="1">
    <w:name w:val="font101"/>
    <w:basedOn w:val="676"/>
    <w:uiPriority w:val="0"/>
    <w:qFormat/>
    <w:rPr>
      <w:rFonts w:ascii="Cambria Math" w:hAnsi="Cambria Math" w:eastAsia="Cambria Math" w:cs="Cambria Math"/>
      <w:color w:val="000000"/>
      <w:sz w:val="24"/>
      <w:szCs w:val="24"/>
      <w:u w:val="none"/>
    </w:rPr>
  </w:style>
  <w:style w:type="character" w:styleId="913" w:customStyle="1">
    <w:name w:val="font41"/>
    <w:basedOn w:val="676"/>
    <w:uiPriority w:val="0"/>
    <w:qFormat/>
    <w:rPr>
      <w:rFonts w:hint="eastAsia" w:ascii="宋体" w:hAnsi="宋体" w:eastAsia="宋体" w:cs="宋体"/>
      <w:color w:val="000000"/>
      <w:sz w:val="24"/>
      <w:szCs w:val="24"/>
      <w:u w:val="none"/>
    </w:rPr>
  </w:style>
  <w:style w:type="character" w:styleId="914" w:customStyle="1">
    <w:name w:val="font112"/>
    <w:basedOn w:val="676"/>
    <w:uiPriority w:val="0"/>
    <w:qFormat/>
    <w:rPr>
      <w:rFonts w:ascii="Calibri" w:hAnsi="Calibri" w:cs="Calibri"/>
      <w:color w:val="000000"/>
      <w:sz w:val="24"/>
      <w:szCs w:val="24"/>
      <w:u w:val="none"/>
    </w:rPr>
  </w:style>
  <w:style w:type="character" w:styleId="915" w:customStyle="1">
    <w:name w:val="font61"/>
    <w:basedOn w:val="676"/>
    <w:uiPriority w:val="0"/>
    <w:qFormat/>
    <w:rPr>
      <w:rFonts w:hint="default" w:ascii="Calibri" w:hAnsi="Calibri" w:cs="Calibri"/>
      <w:color w:val="000000"/>
      <w:sz w:val="20"/>
      <w:szCs w:val="20"/>
      <w:u w:val="none"/>
    </w:rPr>
  </w:style>
  <w:style w:type="character" w:styleId="916" w:customStyle="1">
    <w:name w:val="font31"/>
    <w:basedOn w:val="676"/>
    <w:uiPriority w:val="0"/>
    <w:qFormat/>
    <w:rPr>
      <w:rFonts w:hint="eastAsia" w:ascii="宋体" w:hAnsi="宋体" w:eastAsia="宋体" w:cs="宋体"/>
      <w:color w:val="000000"/>
      <w:sz w:val="20"/>
      <w:szCs w:val="20"/>
      <w:u w:val="none"/>
    </w:rPr>
  </w:style>
  <w:style w:type="paragraph" w:styleId="917" w:customStyle="1">
    <w:name w:val="标题 211"/>
    <w:basedOn w:val="666"/>
    <w:next w:val="918"/>
    <w:uiPriority w:val="0"/>
    <w:qFormat/>
    <w:pPr>
      <w:keepLines/>
      <w:keepNext/>
      <w:spacing w:before="260" w:after="260" w:line="413" w:lineRule="auto"/>
      <w:outlineLvl w:val="1"/>
    </w:pPr>
    <w:rPr>
      <w:rFonts w:ascii="Arial" w:hAnsi="Arial" w:eastAsia="黑体"/>
      <w:b/>
      <w:sz w:val="32"/>
      <w:szCs w:val="20"/>
    </w:rPr>
  </w:style>
  <w:style w:type="paragraph" w:styleId="918" w:customStyle="1">
    <w:name w:val="正文缩进11"/>
    <w:basedOn w:val="666"/>
    <w:uiPriority w:val="0"/>
    <w:qFormat/>
    <w:pPr>
      <w:ind w:firstLine="420"/>
    </w:pPr>
    <w:rPr>
      <w:rFonts w:ascii="宋体"/>
      <w:color w:val="000000"/>
      <w:sz w:val="24"/>
      <w:szCs w:val="20"/>
    </w:rPr>
  </w:style>
  <w:style w:type="paragraph" w:styleId="919" w:customStyle="1">
    <w:name w:val="纯文本1"/>
    <w:basedOn w:val="879"/>
    <w:uiPriority w:val="0"/>
    <w:qFormat/>
    <w:rPr>
      <w:rFonts w:ascii="宋体" w:hAnsi="Courier New" w:cs="Courier New"/>
    </w:rPr>
  </w:style>
  <w:style w:type="character" w:styleId="920" w:customStyle="1">
    <w:name w:val="font21"/>
    <w:basedOn w:val="676"/>
    <w:uiPriority w:val="0"/>
    <w:qFormat/>
    <w:rPr>
      <w:rFonts w:hint="eastAsia" w:ascii="宋体" w:hAnsi="宋体" w:eastAsia="宋体" w:cs="宋体"/>
      <w:b/>
      <w:bCs/>
      <w:color w:val="000000"/>
      <w:sz w:val="22"/>
      <w:szCs w:val="22"/>
      <w:u w:val="none"/>
    </w:rPr>
  </w:style>
  <w:style w:type="character" w:styleId="921" w:customStyle="1">
    <w:name w:val="font51"/>
    <w:basedOn w:val="676"/>
    <w:uiPriority w:val="0"/>
    <w:qFormat/>
    <w:rPr>
      <w:rFonts w:hint="eastAsia" w:ascii="宋体" w:hAnsi="宋体" w:eastAsia="宋体" w:cs="宋体"/>
      <w:color w:val="ff0000"/>
      <w:sz w:val="22"/>
      <w:szCs w:val="22"/>
      <w:u w:val="none"/>
    </w:rPr>
  </w:style>
  <w:style w:type="character" w:styleId="922" w:customStyle="1">
    <w:name w:val="font111"/>
    <w:basedOn w:val="676"/>
    <w:uiPriority w:val="0"/>
    <w:qFormat/>
    <w:rPr>
      <w:rFonts w:hint="default" w:ascii="Arial" w:hAnsi="Arial" w:cs="Arial"/>
      <w:color w:val="ff0000"/>
      <w:sz w:val="22"/>
      <w:szCs w:val="22"/>
      <w:u w:val="none"/>
    </w:rPr>
  </w:style>
  <w:style w:type="character" w:styleId="923" w:customStyle="1">
    <w:name w:val="font122"/>
    <w:basedOn w:val="676"/>
    <w:uiPriority w:val="0"/>
    <w:qFormat/>
    <w:rPr>
      <w:rFonts w:ascii="宋体" w:hAnsi="宋体" w:eastAsia="宋体" w:cs="宋体"/>
      <w:color w:val="000000"/>
      <w:sz w:val="22"/>
      <w:szCs w:val="22"/>
      <w:u w:val="none"/>
    </w:rPr>
  </w:style>
  <w:style w:type="character" w:styleId="924" w:customStyle="1">
    <w:name w:val="font71"/>
    <w:basedOn w:val="676"/>
    <w:uiPriority w:val="0"/>
    <w:qFormat/>
    <w:rPr>
      <w:rFonts w:ascii="宋体" w:hAnsi="宋体" w:eastAsia="宋体" w:cs="宋体"/>
      <w:color w:val="000000"/>
      <w:sz w:val="22"/>
      <w:szCs w:val="22"/>
      <w:u w:val="none"/>
    </w:rPr>
  </w:style>
  <w:style w:type="character" w:styleId="925" w:customStyle="1">
    <w:name w:val="font81"/>
    <w:basedOn w:val="676"/>
    <w:uiPriority w:val="0"/>
    <w:qFormat/>
    <w:rPr>
      <w:rFonts w:hint="eastAsia" w:ascii="宋体" w:hAnsi="宋体" w:eastAsia="宋体" w:cs="宋体"/>
      <w:color w:val="000000"/>
      <w:sz w:val="22"/>
      <w:szCs w:val="22"/>
      <w:u w:val="none"/>
    </w:rPr>
  </w:style>
  <w:style w:type="character" w:styleId="926" w:customStyle="1">
    <w:name w:val="font91"/>
    <w:basedOn w:val="676"/>
    <w:uiPriority w:val="0"/>
    <w:qFormat/>
    <w:rPr>
      <w:rFonts w:hint="eastAsia" w:ascii="宋体" w:hAnsi="宋体" w:eastAsia="宋体" w:cs="宋体"/>
      <w:b/>
      <w:bCs/>
      <w:color w:val="000000"/>
      <w:sz w:val="22"/>
      <w:szCs w:val="22"/>
      <w:u w:val="none"/>
    </w:rPr>
  </w:style>
  <w:style w:type="numbering" w:styleId="1367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朱楠</cp:lastModifiedBy>
  <cp:revision>12</cp:revision>
  <dcterms:created xsi:type="dcterms:W3CDTF">2022-12-12T08:17:00Z</dcterms:created>
  <dcterms:modified xsi:type="dcterms:W3CDTF">2025-12-01T02:37:42Z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eyJoZGlkIjoiZTFiNDU2YWE5YzRlYzA5YjAyMGMzZmQxNDEzYmRmZjYiLCJ1c2VySWQiOiIzNjg5MDc3MzIifQ==</vt:lpwstr>
  </property>
  <property fmtid="{D5CDD505-2E9C-101B-9397-08002B2CF9AE}" pid="3" name="KSOProductBuildVer">
    <vt:lpwstr>2052-12.1.0.20305</vt:lpwstr>
  </property>
  <property fmtid="{D5CDD505-2E9C-101B-9397-08002B2CF9AE}" pid="4" name="ICV">
    <vt:lpwstr>B9CE3EBD57FE4F769C01825BFFE082E1_13</vt:lpwstr>
  </property>
</Properties>
</file>